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F9CD78" w14:textId="77777777" w:rsidR="00952B92" w:rsidRPr="008B3B59" w:rsidRDefault="00611B4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ADE858A" wp14:editId="65B5BA2D">
            <wp:extent cx="1950672" cy="764861"/>
            <wp:effectExtent l="0" t="0" r="0" b="0"/>
            <wp:docPr id="186712720" name="Picture 1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2720" name="Picture 1" descr="A black background with green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459" cy="76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C3F99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3968"/>
        <w:gridCol w:w="1701"/>
        <w:gridCol w:w="1701"/>
      </w:tblGrid>
      <w:tr w:rsidR="00952B92" w:rsidRPr="00611B4B" w14:paraId="0D012EAE" w14:textId="77777777" w:rsidTr="00611B4B">
        <w:trPr>
          <w:trHeight w:val="220"/>
        </w:trPr>
        <w:tc>
          <w:tcPr>
            <w:tcW w:w="10207" w:type="dxa"/>
            <w:gridSpan w:val="4"/>
            <w:shd w:val="clear" w:color="auto" w:fill="203B24"/>
          </w:tcPr>
          <w:p w14:paraId="4830A39A" w14:textId="77777777" w:rsidR="00952B92" w:rsidRPr="00611B4B" w:rsidRDefault="003221B0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t>ROLE PROFILE</w:t>
            </w:r>
            <w:r w:rsidRPr="00611B4B">
              <w:rPr>
                <w:rFonts w:ascii="Avenir Next LT Pro Demi" w:eastAsia="Arial" w:hAnsi="Avenir Next LT Pro Demi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611B4B" w14:paraId="1E805B00" w14:textId="77777777" w:rsidTr="00611B4B">
        <w:trPr>
          <w:trHeight w:val="280"/>
        </w:trPr>
        <w:tc>
          <w:tcPr>
            <w:tcW w:w="2837" w:type="dxa"/>
            <w:shd w:val="clear" w:color="auto" w:fill="A9C2A5"/>
          </w:tcPr>
          <w:p w14:paraId="016873A0" w14:textId="77777777" w:rsidR="00952B92" w:rsidRPr="00611B4B" w:rsidRDefault="003221B0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Job title</w:t>
            </w:r>
          </w:p>
        </w:tc>
        <w:tc>
          <w:tcPr>
            <w:tcW w:w="3968" w:type="dxa"/>
          </w:tcPr>
          <w:p w14:paraId="1F286D43" w14:textId="5C74A605" w:rsidR="00952B92" w:rsidRPr="00611B4B" w:rsidRDefault="000C0ED2" w:rsidP="59B33E60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Site Services Manager</w:t>
            </w:r>
          </w:p>
        </w:tc>
        <w:tc>
          <w:tcPr>
            <w:tcW w:w="1701" w:type="dxa"/>
            <w:shd w:val="clear" w:color="auto" w:fill="A9C2A5"/>
          </w:tcPr>
          <w:p w14:paraId="6CF4564A" w14:textId="77777777" w:rsidR="00952B92" w:rsidRPr="00611B4B" w:rsidRDefault="003221B0" w:rsidP="00D56EE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49F4E00" w14:textId="5E6FCB27" w:rsidR="00952B92" w:rsidRPr="00611B4B" w:rsidRDefault="000C0ED2" w:rsidP="59B33E60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16/03/2026</w:t>
            </w:r>
          </w:p>
        </w:tc>
      </w:tr>
      <w:tr w:rsidR="00952B92" w:rsidRPr="00611B4B" w14:paraId="703E017B" w14:textId="77777777" w:rsidTr="00611B4B">
        <w:trPr>
          <w:trHeight w:val="260"/>
        </w:trPr>
        <w:tc>
          <w:tcPr>
            <w:tcW w:w="2837" w:type="dxa"/>
            <w:shd w:val="clear" w:color="auto" w:fill="A9C2A5"/>
          </w:tcPr>
          <w:p w14:paraId="3D2FD25C" w14:textId="77777777" w:rsidR="00952B92" w:rsidRPr="00611B4B" w:rsidRDefault="003221B0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Business</w:t>
            </w:r>
          </w:p>
        </w:tc>
        <w:tc>
          <w:tcPr>
            <w:tcW w:w="7370" w:type="dxa"/>
            <w:gridSpan w:val="3"/>
          </w:tcPr>
          <w:p w14:paraId="6EA5F893" w14:textId="0CAE0E3B" w:rsidR="00952B92" w:rsidRPr="00611B4B" w:rsidRDefault="000C0ED2" w:rsidP="59B33E60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Manton Wood</w:t>
            </w:r>
          </w:p>
        </w:tc>
      </w:tr>
      <w:tr w:rsidR="00952B92" w:rsidRPr="00611B4B" w14:paraId="214949E1" w14:textId="77777777" w:rsidTr="00611B4B">
        <w:tc>
          <w:tcPr>
            <w:tcW w:w="2837" w:type="dxa"/>
            <w:shd w:val="clear" w:color="auto" w:fill="A9C2A5"/>
          </w:tcPr>
          <w:p w14:paraId="15CBC30C" w14:textId="77777777" w:rsidR="00952B92" w:rsidRPr="00611B4B" w:rsidRDefault="003221B0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Department</w:t>
            </w:r>
          </w:p>
        </w:tc>
        <w:tc>
          <w:tcPr>
            <w:tcW w:w="7370" w:type="dxa"/>
            <w:gridSpan w:val="3"/>
          </w:tcPr>
          <w:p w14:paraId="45066479" w14:textId="34C4A5CA" w:rsidR="00952B92" w:rsidRPr="00611B4B" w:rsidRDefault="000C0ED2" w:rsidP="59B33E60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Engineering </w:t>
            </w:r>
          </w:p>
        </w:tc>
      </w:tr>
      <w:tr w:rsidR="00952B92" w:rsidRPr="00611B4B" w14:paraId="138A6A92" w14:textId="77777777" w:rsidTr="00611B4B">
        <w:trPr>
          <w:trHeight w:val="280"/>
        </w:trPr>
        <w:tc>
          <w:tcPr>
            <w:tcW w:w="2837" w:type="dxa"/>
            <w:shd w:val="clear" w:color="auto" w:fill="A9C2A5"/>
          </w:tcPr>
          <w:p w14:paraId="13A40100" w14:textId="77777777" w:rsidR="00952B92" w:rsidRPr="00611B4B" w:rsidRDefault="003221B0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Location</w:t>
            </w:r>
          </w:p>
        </w:tc>
        <w:tc>
          <w:tcPr>
            <w:tcW w:w="7370" w:type="dxa"/>
            <w:gridSpan w:val="3"/>
          </w:tcPr>
          <w:p w14:paraId="15C722B0" w14:textId="195800B4" w:rsidR="00952B92" w:rsidRPr="00611B4B" w:rsidRDefault="000C0ED2" w:rsidP="59B33E60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Worksop</w:t>
            </w:r>
          </w:p>
        </w:tc>
      </w:tr>
      <w:tr w:rsidR="00952B92" w:rsidRPr="00611B4B" w14:paraId="35EDFF42" w14:textId="77777777" w:rsidTr="00611B4B">
        <w:tc>
          <w:tcPr>
            <w:tcW w:w="10207" w:type="dxa"/>
            <w:gridSpan w:val="4"/>
            <w:shd w:val="clear" w:color="auto" w:fill="203B24"/>
          </w:tcPr>
          <w:p w14:paraId="40271218" w14:textId="77777777" w:rsidR="00952B92" w:rsidRPr="00611B4B" w:rsidRDefault="0083787B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611B4B" w14:paraId="1CBD5038" w14:textId="77777777" w:rsidTr="00494464">
        <w:trPr>
          <w:trHeight w:val="940"/>
        </w:trPr>
        <w:tc>
          <w:tcPr>
            <w:tcW w:w="10207" w:type="dxa"/>
            <w:gridSpan w:val="4"/>
          </w:tcPr>
          <w:p w14:paraId="066646F8" w14:textId="1F71D467" w:rsidR="00B668AC" w:rsidRPr="00191491" w:rsidRDefault="001C1E34" w:rsidP="00D97335">
            <w:pPr>
              <w:rPr>
                <w:rFonts w:ascii="Avenir Next LT Pro" w:eastAsia="Arial" w:hAnsi="Avenir Next LT Pro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b/>
                <w:bCs/>
                <w:i/>
                <w:iCs/>
                <w:sz w:val="22"/>
                <w:szCs w:val="22"/>
              </w:rPr>
              <w:t xml:space="preserve">The </w:t>
            </w:r>
            <w:r w:rsidR="00845FF9">
              <w:rPr>
                <w:rFonts w:ascii="Avenir Next LT Pro" w:eastAsia="Arial" w:hAnsi="Avenir Next LT Pro" w:cs="Arial"/>
                <w:b/>
                <w:bCs/>
                <w:i/>
                <w:iCs/>
                <w:sz w:val="22"/>
                <w:szCs w:val="22"/>
              </w:rPr>
              <w:t xml:space="preserve">site Services Manager is responsible for ensuring the safe, efficient and compliant operation of all </w:t>
            </w:r>
            <w:r w:rsidR="008D332B">
              <w:rPr>
                <w:rFonts w:ascii="Avenir Next LT Pro" w:eastAsia="Arial" w:hAnsi="Avenir Next LT Pro" w:cs="Arial"/>
                <w:b/>
                <w:bCs/>
                <w:i/>
                <w:iCs/>
                <w:sz w:val="22"/>
                <w:szCs w:val="22"/>
              </w:rPr>
              <w:t xml:space="preserve">building services and site infrastructure. </w:t>
            </w:r>
            <w:r w:rsidR="00A0712B">
              <w:rPr>
                <w:rFonts w:ascii="Avenir Next LT Pro" w:eastAsia="Arial" w:hAnsi="Avenir Next LT Pro" w:cs="Arial"/>
                <w:b/>
                <w:bCs/>
                <w:i/>
                <w:iCs/>
                <w:sz w:val="22"/>
                <w:szCs w:val="22"/>
              </w:rPr>
              <w:t>The role oversees maintenance</w:t>
            </w:r>
            <w:r w:rsidR="00F8173E">
              <w:rPr>
                <w:rFonts w:ascii="Avenir Next LT Pro" w:eastAsia="Arial" w:hAnsi="Avenir Next LT Pro" w:cs="Arial"/>
                <w:b/>
                <w:bCs/>
                <w:i/>
                <w:iCs/>
                <w:sz w:val="22"/>
                <w:szCs w:val="22"/>
              </w:rPr>
              <w:t xml:space="preserve"> of plan</w:t>
            </w:r>
            <w:r w:rsidR="00D231BB">
              <w:rPr>
                <w:rFonts w:ascii="Avenir Next LT Pro" w:eastAsia="Arial" w:hAnsi="Avenir Next LT Pro" w:cs="Arial"/>
                <w:b/>
                <w:bCs/>
                <w:i/>
                <w:iCs/>
                <w:sz w:val="22"/>
                <w:szCs w:val="22"/>
              </w:rPr>
              <w:t>t</w:t>
            </w:r>
            <w:r w:rsidR="00F8173E">
              <w:rPr>
                <w:rFonts w:ascii="Avenir Next LT Pro" w:eastAsia="Arial" w:hAnsi="Avenir Next LT Pro" w:cs="Arial"/>
                <w:b/>
                <w:bCs/>
                <w:i/>
                <w:iCs/>
                <w:sz w:val="22"/>
                <w:szCs w:val="22"/>
              </w:rPr>
              <w:t xml:space="preserve"> equipment</w:t>
            </w:r>
            <w:r w:rsidR="00A0712B">
              <w:rPr>
                <w:rFonts w:ascii="Avenir Next LT Pro" w:eastAsia="Arial" w:hAnsi="Avenir Next LT Pro" w:cs="Arial"/>
                <w:b/>
                <w:bCs/>
                <w:i/>
                <w:iCs/>
                <w:sz w:val="22"/>
                <w:szCs w:val="22"/>
              </w:rPr>
              <w:t>, utilities,</w:t>
            </w:r>
            <w:r w:rsidR="00B9514A">
              <w:rPr>
                <w:rFonts w:ascii="Avenir Next LT Pro" w:eastAsia="Arial" w:hAnsi="Avenir Next LT Pro" w:cs="Arial"/>
                <w:b/>
                <w:bCs/>
                <w:i/>
                <w:iCs/>
                <w:sz w:val="22"/>
                <w:szCs w:val="22"/>
              </w:rPr>
              <w:t xml:space="preserve"> legal compliance,</w:t>
            </w:r>
            <w:r w:rsidR="00A0712B">
              <w:rPr>
                <w:rFonts w:ascii="Avenir Next LT Pro" w:eastAsia="Arial" w:hAnsi="Avenir Next LT Pro" w:cs="Arial"/>
                <w:b/>
                <w:bCs/>
                <w:i/>
                <w:iCs/>
                <w:sz w:val="22"/>
                <w:szCs w:val="22"/>
              </w:rPr>
              <w:t xml:space="preserve"> contractor management</w:t>
            </w:r>
            <w:r w:rsidR="00B47532">
              <w:rPr>
                <w:rFonts w:ascii="Avenir Next LT Pro" w:eastAsia="Arial" w:hAnsi="Avenir Next LT Pro" w:cs="Arial"/>
                <w:b/>
                <w:bCs/>
                <w:i/>
                <w:iCs/>
                <w:sz w:val="22"/>
                <w:szCs w:val="22"/>
              </w:rPr>
              <w:t xml:space="preserve"> and site fabrication.</w:t>
            </w:r>
            <w:r w:rsidR="00621682">
              <w:rPr>
                <w:rFonts w:ascii="Avenir Next LT Pro" w:eastAsia="Arial" w:hAnsi="Avenir Next LT Pro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52B92" w:rsidRPr="00611B4B" w14:paraId="183B51BB" w14:textId="77777777" w:rsidTr="00611B4B">
        <w:trPr>
          <w:trHeight w:val="300"/>
        </w:trPr>
        <w:tc>
          <w:tcPr>
            <w:tcW w:w="10207" w:type="dxa"/>
            <w:gridSpan w:val="4"/>
            <w:shd w:val="clear" w:color="auto" w:fill="203B24"/>
            <w:vAlign w:val="center"/>
          </w:tcPr>
          <w:p w14:paraId="25BB29B2" w14:textId="77777777" w:rsidR="00952B92" w:rsidRPr="00611B4B" w:rsidRDefault="003221B0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611B4B" w14:paraId="741A575D" w14:textId="77777777" w:rsidTr="00611B4B">
        <w:trPr>
          <w:trHeight w:val="80"/>
        </w:trPr>
        <w:tc>
          <w:tcPr>
            <w:tcW w:w="2837" w:type="dxa"/>
            <w:shd w:val="clear" w:color="auto" w:fill="A9C2A5"/>
          </w:tcPr>
          <w:p w14:paraId="36BB3206" w14:textId="77777777" w:rsidR="00952B92" w:rsidRPr="00611B4B" w:rsidRDefault="003221B0" w:rsidP="00611B4B">
            <w:pPr>
              <w:spacing w:before="140"/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Reports to</w:t>
            </w:r>
          </w:p>
        </w:tc>
        <w:tc>
          <w:tcPr>
            <w:tcW w:w="7370" w:type="dxa"/>
            <w:gridSpan w:val="3"/>
            <w:vAlign w:val="center"/>
          </w:tcPr>
          <w:p w14:paraId="467AE7C5" w14:textId="11C9161F" w:rsidR="00952B92" w:rsidRPr="00611B4B" w:rsidRDefault="0049254E" w:rsidP="00611B4B">
            <w:pPr>
              <w:spacing w:line="259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Engineering Manager</w:t>
            </w:r>
          </w:p>
        </w:tc>
      </w:tr>
      <w:tr w:rsidR="00952B92" w:rsidRPr="00611B4B" w14:paraId="131F0295" w14:textId="77777777" w:rsidTr="00611B4B">
        <w:trPr>
          <w:trHeight w:val="120"/>
        </w:trPr>
        <w:tc>
          <w:tcPr>
            <w:tcW w:w="2837" w:type="dxa"/>
            <w:shd w:val="clear" w:color="auto" w:fill="A9C2A5"/>
          </w:tcPr>
          <w:p w14:paraId="31969315" w14:textId="77777777" w:rsidR="00952B92" w:rsidRPr="00611B4B" w:rsidRDefault="003221B0" w:rsidP="00611B4B">
            <w:pPr>
              <w:spacing w:before="140"/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Direct &amp; indirect reports</w:t>
            </w:r>
          </w:p>
        </w:tc>
        <w:tc>
          <w:tcPr>
            <w:tcW w:w="7370" w:type="dxa"/>
            <w:gridSpan w:val="3"/>
            <w:vAlign w:val="center"/>
          </w:tcPr>
          <w:p w14:paraId="78954FB0" w14:textId="0D308908" w:rsidR="00952B92" w:rsidRPr="00611B4B" w:rsidRDefault="00783B62" w:rsidP="00611B4B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Engineering Team</w:t>
            </w:r>
          </w:p>
        </w:tc>
      </w:tr>
      <w:tr w:rsidR="00C16355" w:rsidRPr="00611B4B" w14:paraId="77145245" w14:textId="77777777" w:rsidTr="00611B4B">
        <w:trPr>
          <w:trHeight w:val="60"/>
        </w:trPr>
        <w:tc>
          <w:tcPr>
            <w:tcW w:w="2837" w:type="dxa"/>
            <w:shd w:val="clear" w:color="auto" w:fill="A9C2A5"/>
          </w:tcPr>
          <w:p w14:paraId="27B2DA7C" w14:textId="77777777" w:rsidR="00C16355" w:rsidRPr="00611B4B" w:rsidRDefault="00C16355" w:rsidP="00611B4B">
            <w:pPr>
              <w:spacing w:before="140"/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Key internal stakeholders</w:t>
            </w:r>
          </w:p>
        </w:tc>
        <w:tc>
          <w:tcPr>
            <w:tcW w:w="7370" w:type="dxa"/>
            <w:gridSpan w:val="3"/>
            <w:vAlign w:val="center"/>
          </w:tcPr>
          <w:p w14:paraId="13747E0C" w14:textId="76F9A153" w:rsidR="00C16355" w:rsidRPr="00611B4B" w:rsidRDefault="00EA02FD" w:rsidP="00611B4B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Operations Director, </w:t>
            </w:r>
            <w:r w:rsidR="00176292">
              <w:rPr>
                <w:rFonts w:ascii="Avenir Next LT Pro" w:eastAsia="Arial" w:hAnsi="Avenir Next LT Pro" w:cs="Arial"/>
                <w:sz w:val="22"/>
                <w:szCs w:val="22"/>
              </w:rPr>
              <w:t xml:space="preserve">Production and operations teams,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Engineering team</w:t>
            </w:r>
          </w:p>
        </w:tc>
      </w:tr>
      <w:tr w:rsidR="00C16355" w:rsidRPr="00611B4B" w14:paraId="3AFFCA71" w14:textId="77777777" w:rsidTr="00611B4B">
        <w:trPr>
          <w:trHeight w:val="200"/>
        </w:trPr>
        <w:tc>
          <w:tcPr>
            <w:tcW w:w="2837" w:type="dxa"/>
            <w:shd w:val="clear" w:color="auto" w:fill="A9C2A5"/>
          </w:tcPr>
          <w:p w14:paraId="61A51EF2" w14:textId="77777777" w:rsidR="00C16355" w:rsidRPr="00611B4B" w:rsidRDefault="00C16355" w:rsidP="00611B4B">
            <w:pPr>
              <w:spacing w:before="140"/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Key external stakeholders</w:t>
            </w:r>
          </w:p>
        </w:tc>
        <w:tc>
          <w:tcPr>
            <w:tcW w:w="7370" w:type="dxa"/>
            <w:gridSpan w:val="3"/>
            <w:vAlign w:val="center"/>
          </w:tcPr>
          <w:p w14:paraId="16A109C0" w14:textId="26866368" w:rsidR="00C16355" w:rsidRPr="00611B4B" w:rsidRDefault="00EA02FD" w:rsidP="00611B4B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Suppliers and contractors </w:t>
            </w:r>
          </w:p>
        </w:tc>
      </w:tr>
      <w:tr w:rsidR="00C16355" w:rsidRPr="00611B4B" w14:paraId="3E2D2697" w14:textId="77777777" w:rsidTr="00611B4B">
        <w:tc>
          <w:tcPr>
            <w:tcW w:w="10207" w:type="dxa"/>
            <w:gridSpan w:val="4"/>
            <w:shd w:val="clear" w:color="auto" w:fill="203B24"/>
          </w:tcPr>
          <w:p w14:paraId="020613AB" w14:textId="0D7488CA" w:rsidR="00C16355" w:rsidRPr="00611B4B" w:rsidRDefault="004A4EA6" w:rsidP="00C16355">
            <w:pPr>
              <w:pStyle w:val="Heading2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t xml:space="preserve">KEY ACCOUNTABILITIES AND RESPONSIBILITIES </w:t>
            </w:r>
          </w:p>
        </w:tc>
      </w:tr>
      <w:tr w:rsidR="00A50225" w:rsidRPr="00611B4B" w14:paraId="012DFAAF" w14:textId="77777777" w:rsidTr="59B33E60">
        <w:trPr>
          <w:trHeight w:val="416"/>
        </w:trPr>
        <w:tc>
          <w:tcPr>
            <w:tcW w:w="10207" w:type="dxa"/>
            <w:gridSpan w:val="4"/>
          </w:tcPr>
          <w:p w14:paraId="5889993D" w14:textId="0120D950" w:rsidR="00BD0591" w:rsidRDefault="001B26B6" w:rsidP="00627BF0">
            <w:pPr>
              <w:pStyle w:val="ListParagraph"/>
              <w:numPr>
                <w:ilvl w:val="0"/>
                <w:numId w:val="20"/>
              </w:num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Manage the Site Services team</w:t>
            </w:r>
            <w:r w:rsidR="00724597">
              <w:rPr>
                <w:rFonts w:ascii="Avenir Next LT Pro" w:eastAsia="Arial" w:hAnsi="Avenir Next LT Pro" w:cs="Arial"/>
              </w:rPr>
              <w:t xml:space="preserve"> and have a good understanding of all roles </w:t>
            </w:r>
            <w:r w:rsidR="001024F0">
              <w:rPr>
                <w:rFonts w:ascii="Avenir Next LT Pro" w:eastAsia="Arial" w:hAnsi="Avenir Next LT Pro" w:cs="Arial"/>
              </w:rPr>
              <w:t xml:space="preserve">and responsibilities within the team </w:t>
            </w:r>
            <w:r w:rsidR="00724597">
              <w:rPr>
                <w:rFonts w:ascii="Avenir Next LT Pro" w:eastAsia="Arial" w:hAnsi="Avenir Next LT Pro" w:cs="Arial"/>
              </w:rPr>
              <w:t xml:space="preserve">to be able to provide support. </w:t>
            </w:r>
          </w:p>
          <w:p w14:paraId="42AEF7E3" w14:textId="77777777" w:rsidR="00724597" w:rsidRDefault="001024F0" w:rsidP="00627BF0">
            <w:pPr>
              <w:pStyle w:val="ListParagraph"/>
              <w:numPr>
                <w:ilvl w:val="0"/>
                <w:numId w:val="20"/>
              </w:num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Have a flexible approach to working patterns. </w:t>
            </w:r>
          </w:p>
          <w:p w14:paraId="0C5550CA" w14:textId="77777777" w:rsidR="001024F0" w:rsidRDefault="00806CB0" w:rsidP="00627BF0">
            <w:pPr>
              <w:pStyle w:val="ListParagraph"/>
              <w:numPr>
                <w:ilvl w:val="0"/>
                <w:numId w:val="20"/>
              </w:num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Be able to demonstrate good hygiene practices and food safety. </w:t>
            </w:r>
          </w:p>
          <w:p w14:paraId="00706F6F" w14:textId="77777777" w:rsidR="00806CB0" w:rsidRDefault="004046AF" w:rsidP="00627BF0">
            <w:pPr>
              <w:pStyle w:val="ListParagraph"/>
              <w:numPr>
                <w:ilvl w:val="0"/>
                <w:numId w:val="20"/>
              </w:num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Control and governance of </w:t>
            </w:r>
            <w:r w:rsidR="00EB3591">
              <w:rPr>
                <w:rFonts w:ascii="Avenir Next LT Pro" w:eastAsia="Arial" w:hAnsi="Avenir Next LT Pro" w:cs="Arial"/>
              </w:rPr>
              <w:t xml:space="preserve">legal and statutory compliance. </w:t>
            </w:r>
          </w:p>
          <w:p w14:paraId="5A00095A" w14:textId="4B71D125" w:rsidR="00EB3591" w:rsidRDefault="00527039" w:rsidP="00627BF0">
            <w:pPr>
              <w:pStyle w:val="ListParagraph"/>
              <w:numPr>
                <w:ilvl w:val="0"/>
                <w:numId w:val="20"/>
              </w:num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Contractor and supplier </w:t>
            </w:r>
            <w:r w:rsidR="00DF71EE">
              <w:rPr>
                <w:rFonts w:ascii="Avenir Next LT Pro" w:eastAsia="Arial" w:hAnsi="Avenir Next LT Pro" w:cs="Arial"/>
              </w:rPr>
              <w:t xml:space="preserve">management. </w:t>
            </w:r>
          </w:p>
          <w:p w14:paraId="05DD975A" w14:textId="77777777" w:rsidR="00D9699F" w:rsidRDefault="00B23E02" w:rsidP="00627BF0">
            <w:pPr>
              <w:pStyle w:val="ListParagraph"/>
              <w:numPr>
                <w:ilvl w:val="0"/>
                <w:numId w:val="20"/>
              </w:num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Facilities and building management.</w:t>
            </w:r>
          </w:p>
          <w:p w14:paraId="78E00910" w14:textId="77777777" w:rsidR="00B23E02" w:rsidRDefault="00527039" w:rsidP="00627BF0">
            <w:pPr>
              <w:pStyle w:val="ListParagraph"/>
              <w:numPr>
                <w:ilvl w:val="0"/>
                <w:numId w:val="20"/>
              </w:num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Health, safety and regulatory compliance. </w:t>
            </w:r>
          </w:p>
          <w:p w14:paraId="11839D15" w14:textId="61DD884D" w:rsidR="00527039" w:rsidRPr="00627BF0" w:rsidRDefault="00DF71EE" w:rsidP="00627BF0">
            <w:pPr>
              <w:pStyle w:val="ListParagraph"/>
              <w:numPr>
                <w:ilvl w:val="0"/>
                <w:numId w:val="20"/>
              </w:num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Budget management. </w:t>
            </w:r>
          </w:p>
        </w:tc>
      </w:tr>
      <w:tr w:rsidR="00D2319E" w:rsidRPr="00611B4B" w14:paraId="376EBC2E" w14:textId="77777777" w:rsidTr="00465CEB">
        <w:tc>
          <w:tcPr>
            <w:tcW w:w="10207" w:type="dxa"/>
            <w:gridSpan w:val="4"/>
            <w:shd w:val="clear" w:color="auto" w:fill="203B24"/>
          </w:tcPr>
          <w:p w14:paraId="074D3173" w14:textId="77777777" w:rsidR="00D2319E" w:rsidRPr="00611B4B" w:rsidRDefault="00D2319E" w:rsidP="00465CEB">
            <w:pPr>
              <w:pStyle w:val="Heading2"/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D2319E" w:rsidRPr="00611B4B" w14:paraId="2DE7B647" w14:textId="77777777" w:rsidTr="00465CEB">
        <w:trPr>
          <w:trHeight w:val="1017"/>
        </w:trPr>
        <w:tc>
          <w:tcPr>
            <w:tcW w:w="10207" w:type="dxa"/>
            <w:gridSpan w:val="4"/>
          </w:tcPr>
          <w:p w14:paraId="7933A6E0" w14:textId="77777777" w:rsidR="00BE6165" w:rsidRDefault="0003751A" w:rsidP="00BE6165">
            <w:pPr>
              <w:pStyle w:val="ListParagraph"/>
              <w:numPr>
                <w:ilvl w:val="0"/>
                <w:numId w:val="17"/>
              </w:numPr>
              <w:rPr>
                <w:rFonts w:ascii="Avenir Next LT Pro" w:eastAsia="Arial" w:hAnsi="Avenir Next LT Pro" w:cs="Arial"/>
                <w:bCs/>
              </w:rPr>
            </w:pPr>
            <w:r>
              <w:rPr>
                <w:rFonts w:ascii="Avenir Next LT Pro" w:eastAsia="Arial" w:hAnsi="Avenir Next LT Pro" w:cs="Arial"/>
                <w:bCs/>
              </w:rPr>
              <w:t>Minimum Level 3 in electrical or mechanical</w:t>
            </w:r>
          </w:p>
          <w:p w14:paraId="2501A02F" w14:textId="77777777" w:rsidR="00BE6165" w:rsidRDefault="00BE6165" w:rsidP="00BE6165">
            <w:pPr>
              <w:pStyle w:val="ListParagraph"/>
              <w:numPr>
                <w:ilvl w:val="0"/>
                <w:numId w:val="17"/>
              </w:numPr>
              <w:rPr>
                <w:rFonts w:ascii="Avenir Next LT Pro" w:eastAsia="Arial" w:hAnsi="Avenir Next LT Pro" w:cs="Arial"/>
                <w:bCs/>
              </w:rPr>
            </w:pPr>
            <w:r>
              <w:rPr>
                <w:rFonts w:ascii="Avenir Next LT Pro" w:eastAsia="Arial" w:hAnsi="Avenir Next LT Pro" w:cs="Arial"/>
                <w:bCs/>
              </w:rPr>
              <w:t xml:space="preserve">People management </w:t>
            </w:r>
          </w:p>
          <w:p w14:paraId="5CAA16A3" w14:textId="77777777" w:rsidR="0057640B" w:rsidRDefault="0057640B" w:rsidP="00BE6165">
            <w:pPr>
              <w:pStyle w:val="ListParagraph"/>
              <w:numPr>
                <w:ilvl w:val="0"/>
                <w:numId w:val="17"/>
              </w:numPr>
              <w:rPr>
                <w:rFonts w:ascii="Avenir Next LT Pro" w:eastAsia="Arial" w:hAnsi="Avenir Next LT Pro" w:cs="Arial"/>
                <w:bCs/>
              </w:rPr>
            </w:pPr>
            <w:r>
              <w:rPr>
                <w:rFonts w:ascii="Avenir Next LT Pro" w:eastAsia="Arial" w:hAnsi="Avenir Next LT Pro" w:cs="Arial"/>
                <w:bCs/>
              </w:rPr>
              <w:t xml:space="preserve">Good communicator </w:t>
            </w:r>
          </w:p>
          <w:p w14:paraId="1E2B0BFB" w14:textId="77777777" w:rsidR="00794586" w:rsidRDefault="0057640B" w:rsidP="00BE6165">
            <w:pPr>
              <w:pStyle w:val="ListParagraph"/>
              <w:numPr>
                <w:ilvl w:val="0"/>
                <w:numId w:val="17"/>
              </w:numPr>
              <w:rPr>
                <w:rFonts w:ascii="Avenir Next LT Pro" w:eastAsia="Arial" w:hAnsi="Avenir Next LT Pro" w:cs="Arial"/>
                <w:bCs/>
              </w:rPr>
            </w:pPr>
            <w:r>
              <w:rPr>
                <w:rFonts w:ascii="Avenir Next LT Pro" w:eastAsia="Arial" w:hAnsi="Avenir Next LT Pro" w:cs="Arial"/>
                <w:bCs/>
              </w:rPr>
              <w:t>Statutory and legal compliance</w:t>
            </w:r>
          </w:p>
          <w:p w14:paraId="341CC7CD" w14:textId="77777777" w:rsidR="00794586" w:rsidRDefault="00794586" w:rsidP="00BE6165">
            <w:pPr>
              <w:pStyle w:val="ListParagraph"/>
              <w:numPr>
                <w:ilvl w:val="0"/>
                <w:numId w:val="17"/>
              </w:numPr>
              <w:rPr>
                <w:rFonts w:ascii="Avenir Next LT Pro" w:eastAsia="Arial" w:hAnsi="Avenir Next LT Pro" w:cs="Arial"/>
                <w:bCs/>
              </w:rPr>
            </w:pPr>
            <w:r>
              <w:rPr>
                <w:rFonts w:ascii="Avenir Next LT Pro" w:eastAsia="Arial" w:hAnsi="Avenir Next LT Pro" w:cs="Arial"/>
                <w:bCs/>
              </w:rPr>
              <w:t xml:space="preserve">Facilities management </w:t>
            </w:r>
          </w:p>
          <w:p w14:paraId="29794F66" w14:textId="7CDE8D5A" w:rsidR="00EB3591" w:rsidRPr="00EB3591" w:rsidRDefault="00794586" w:rsidP="00EB3591">
            <w:pPr>
              <w:pStyle w:val="ListParagraph"/>
              <w:numPr>
                <w:ilvl w:val="0"/>
                <w:numId w:val="17"/>
              </w:numPr>
              <w:rPr>
                <w:rFonts w:ascii="Avenir Next LT Pro" w:eastAsia="Arial" w:hAnsi="Avenir Next LT Pro" w:cs="Arial"/>
                <w:bCs/>
              </w:rPr>
            </w:pPr>
            <w:r>
              <w:rPr>
                <w:rFonts w:ascii="Avenir Next LT Pro" w:eastAsia="Arial" w:hAnsi="Avenir Next LT Pro" w:cs="Arial"/>
                <w:bCs/>
              </w:rPr>
              <w:t xml:space="preserve">Experience with hot water boilers, air compressors, ammonia </w:t>
            </w:r>
            <w:r w:rsidR="004A4EA6">
              <w:rPr>
                <w:rFonts w:ascii="Avenir Next LT Pro" w:eastAsia="Arial" w:hAnsi="Avenir Next LT Pro" w:cs="Arial"/>
                <w:bCs/>
              </w:rPr>
              <w:t>plants, refrigeration compressors, condensers and evaporators.</w:t>
            </w:r>
          </w:p>
        </w:tc>
      </w:tr>
      <w:tr w:rsidR="00C21930" w:rsidRPr="00611B4B" w14:paraId="311B8973" w14:textId="77777777" w:rsidTr="00611B4B">
        <w:trPr>
          <w:trHeight w:val="200"/>
        </w:trPr>
        <w:tc>
          <w:tcPr>
            <w:tcW w:w="10207" w:type="dxa"/>
            <w:gridSpan w:val="4"/>
            <w:shd w:val="clear" w:color="auto" w:fill="203B24"/>
          </w:tcPr>
          <w:p w14:paraId="619BCD30" w14:textId="77777777" w:rsidR="00C21930" w:rsidRPr="00611B4B" w:rsidRDefault="00C21930" w:rsidP="00C21930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C21930" w:rsidRPr="00611B4B" w14:paraId="67BDEA20" w14:textId="77777777" w:rsidTr="00611B4B">
        <w:trPr>
          <w:trHeight w:val="360"/>
        </w:trPr>
        <w:tc>
          <w:tcPr>
            <w:tcW w:w="2837" w:type="dxa"/>
            <w:shd w:val="clear" w:color="auto" w:fill="A9C2A5"/>
          </w:tcPr>
          <w:p w14:paraId="0874C08C" w14:textId="77777777" w:rsidR="00C21930" w:rsidRPr="00611B4B" w:rsidRDefault="00C21930" w:rsidP="00C21930">
            <w:pPr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sz w:val="22"/>
                <w:szCs w:val="22"/>
              </w:rPr>
              <w:t>Competency</w:t>
            </w:r>
          </w:p>
        </w:tc>
        <w:tc>
          <w:tcPr>
            <w:tcW w:w="7370" w:type="dxa"/>
            <w:gridSpan w:val="3"/>
            <w:shd w:val="clear" w:color="auto" w:fill="A9C2A5"/>
          </w:tcPr>
          <w:p w14:paraId="020B5E14" w14:textId="77777777" w:rsidR="00C21930" w:rsidRPr="00611B4B" w:rsidRDefault="00C21930" w:rsidP="00C21930">
            <w:pPr>
              <w:widowControl w:val="0"/>
              <w:spacing w:line="276" w:lineRule="auto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sz w:val="22"/>
                <w:szCs w:val="22"/>
              </w:rPr>
              <w:t>Descriptors</w:t>
            </w:r>
          </w:p>
          <w:p w14:paraId="0924E6FB" w14:textId="77777777" w:rsidR="00C21930" w:rsidRPr="00611B4B" w:rsidRDefault="00C21930" w:rsidP="00C21930">
            <w:pPr>
              <w:widowControl w:val="0"/>
              <w:spacing w:line="276" w:lineRule="auto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</w:p>
        </w:tc>
      </w:tr>
      <w:tr w:rsidR="00C21930" w:rsidRPr="00611B4B" w14:paraId="4D64A73F" w14:textId="77777777" w:rsidTr="00611B4B">
        <w:trPr>
          <w:trHeight w:val="671"/>
        </w:trPr>
        <w:tc>
          <w:tcPr>
            <w:tcW w:w="2837" w:type="dxa"/>
          </w:tcPr>
          <w:p w14:paraId="7BCBAE45" w14:textId="77777777" w:rsidR="00C21930" w:rsidRPr="00611B4B" w:rsidRDefault="00C21930" w:rsidP="00C21930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>Values People</w:t>
            </w:r>
          </w:p>
        </w:tc>
        <w:tc>
          <w:tcPr>
            <w:tcW w:w="7370" w:type="dxa"/>
            <w:gridSpan w:val="3"/>
          </w:tcPr>
          <w:p w14:paraId="4FE98A1F" w14:textId="5C65BEF4" w:rsidR="00C21930" w:rsidRPr="00611B4B" w:rsidRDefault="003E2284" w:rsidP="00C21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>Demonstrates the belief that people are our most important asset and central to the success of the organisation.  Everybody should be treated with dignity and respect at all times.</w:t>
            </w:r>
          </w:p>
        </w:tc>
      </w:tr>
      <w:tr w:rsidR="00621682" w:rsidRPr="00611B4B" w14:paraId="05E061BD" w14:textId="77777777" w:rsidTr="00611B4B">
        <w:trPr>
          <w:trHeight w:val="671"/>
        </w:trPr>
        <w:tc>
          <w:tcPr>
            <w:tcW w:w="2837" w:type="dxa"/>
          </w:tcPr>
          <w:p w14:paraId="2970E984" w14:textId="77777777" w:rsidR="00621682" w:rsidRPr="00611B4B" w:rsidRDefault="00621682" w:rsidP="0062168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>Customer Focus</w:t>
            </w:r>
          </w:p>
        </w:tc>
        <w:tc>
          <w:tcPr>
            <w:tcW w:w="7370" w:type="dxa"/>
            <w:gridSpan w:val="3"/>
          </w:tcPr>
          <w:p w14:paraId="6BBB2752" w14:textId="4BDBC2D0" w:rsidR="00621682" w:rsidRPr="00611B4B" w:rsidRDefault="00621682" w:rsidP="00621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auto"/>
                <w:sz w:val="22"/>
                <w:szCs w:val="22"/>
                <w:lang w:val="en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  <w:t xml:space="preserve">Demonstrates the understanding that the satisfaction of our internal and external customers is the foundation of our success. </w:t>
            </w:r>
          </w:p>
        </w:tc>
      </w:tr>
      <w:tr w:rsidR="00621682" w:rsidRPr="00611B4B" w14:paraId="3140443C" w14:textId="77777777" w:rsidTr="00611B4B">
        <w:trPr>
          <w:trHeight w:val="671"/>
        </w:trPr>
        <w:tc>
          <w:tcPr>
            <w:tcW w:w="2837" w:type="dxa"/>
          </w:tcPr>
          <w:p w14:paraId="0C124756" w14:textId="77777777" w:rsidR="00621682" w:rsidRPr="00611B4B" w:rsidRDefault="00621682" w:rsidP="00621682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lastRenderedPageBreak/>
              <w:t>Collaborative Team Working</w:t>
            </w:r>
          </w:p>
        </w:tc>
        <w:tc>
          <w:tcPr>
            <w:tcW w:w="7370" w:type="dxa"/>
            <w:gridSpan w:val="3"/>
          </w:tcPr>
          <w:p w14:paraId="34476025" w14:textId="48CD8339" w:rsidR="00621682" w:rsidRPr="00611B4B" w:rsidRDefault="00621682" w:rsidP="00621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621682" w:rsidRPr="00611B4B" w14:paraId="4EBA732B" w14:textId="77777777" w:rsidTr="00611B4B">
        <w:trPr>
          <w:trHeight w:val="671"/>
        </w:trPr>
        <w:tc>
          <w:tcPr>
            <w:tcW w:w="2837" w:type="dxa"/>
          </w:tcPr>
          <w:p w14:paraId="09866EA4" w14:textId="77777777" w:rsidR="00621682" w:rsidRPr="00611B4B" w:rsidRDefault="00621682" w:rsidP="0062168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>Flexibility &amp; Adaptability</w:t>
            </w:r>
          </w:p>
        </w:tc>
        <w:tc>
          <w:tcPr>
            <w:tcW w:w="7370" w:type="dxa"/>
            <w:gridSpan w:val="3"/>
          </w:tcPr>
          <w:p w14:paraId="054F4FF1" w14:textId="0F2FFD7F" w:rsidR="00621682" w:rsidRPr="00611B4B" w:rsidRDefault="00621682" w:rsidP="0062168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change and adapt own behaviour or work procedures when there is a change in work environment, for example as a result of changing customer needs.</w:t>
            </w:r>
          </w:p>
        </w:tc>
      </w:tr>
      <w:tr w:rsidR="00621682" w:rsidRPr="00611B4B" w14:paraId="56A9CA1D" w14:textId="77777777" w:rsidTr="00611B4B">
        <w:trPr>
          <w:trHeight w:val="671"/>
        </w:trPr>
        <w:tc>
          <w:tcPr>
            <w:tcW w:w="2837" w:type="dxa"/>
          </w:tcPr>
          <w:p w14:paraId="61E10F50" w14:textId="77777777" w:rsidR="00621682" w:rsidRPr="00611B4B" w:rsidRDefault="00621682" w:rsidP="0062168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370" w:type="dxa"/>
            <w:gridSpan w:val="3"/>
          </w:tcPr>
          <w:p w14:paraId="12154FF9" w14:textId="3F1CB82B" w:rsidR="00621682" w:rsidRPr="00611B4B" w:rsidRDefault="00621682" w:rsidP="0062168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</w:tbl>
    <w:p w14:paraId="4ABB9F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 w:rsidSect="00326070">
      <w:footerReference w:type="default" r:id="rId11"/>
      <w:pgSz w:w="11906" w:h="16838"/>
      <w:pgMar w:top="426" w:right="851" w:bottom="709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EA08D" w14:textId="77777777" w:rsidR="00CC0E81" w:rsidRDefault="00CC0E81">
      <w:r>
        <w:separator/>
      </w:r>
    </w:p>
  </w:endnote>
  <w:endnote w:type="continuationSeparator" w:id="0">
    <w:p w14:paraId="49D6C216" w14:textId="77777777" w:rsidR="00CC0E81" w:rsidRDefault="00CC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95BE72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B7CCF1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57509" w14:textId="77777777" w:rsidR="00CC0E81" w:rsidRDefault="00CC0E81">
      <w:r>
        <w:separator/>
      </w:r>
    </w:p>
  </w:footnote>
  <w:footnote w:type="continuationSeparator" w:id="0">
    <w:p w14:paraId="44D8390F" w14:textId="77777777" w:rsidR="00CC0E81" w:rsidRDefault="00CC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2FB0"/>
    <w:multiLevelType w:val="hybridMultilevel"/>
    <w:tmpl w:val="56823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E707A"/>
    <w:multiLevelType w:val="hybridMultilevel"/>
    <w:tmpl w:val="9760D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00258"/>
    <w:multiLevelType w:val="hybridMultilevel"/>
    <w:tmpl w:val="1F7C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4573C"/>
    <w:multiLevelType w:val="hybridMultilevel"/>
    <w:tmpl w:val="0D1064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74B7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765F7F"/>
    <w:multiLevelType w:val="hybridMultilevel"/>
    <w:tmpl w:val="9EA8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C7002"/>
    <w:multiLevelType w:val="hybridMultilevel"/>
    <w:tmpl w:val="8F0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181653"/>
    <w:multiLevelType w:val="hybridMultilevel"/>
    <w:tmpl w:val="96387170"/>
    <w:lvl w:ilvl="0" w:tplc="B9E896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D331E"/>
    <w:multiLevelType w:val="hybridMultilevel"/>
    <w:tmpl w:val="15501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F8644E"/>
    <w:multiLevelType w:val="hybridMultilevel"/>
    <w:tmpl w:val="7D0C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E3254"/>
    <w:multiLevelType w:val="hybridMultilevel"/>
    <w:tmpl w:val="A460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314E7E"/>
    <w:multiLevelType w:val="hybridMultilevel"/>
    <w:tmpl w:val="FCF01D2C"/>
    <w:lvl w:ilvl="0" w:tplc="BC4C65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7459302">
    <w:abstractNumId w:val="1"/>
  </w:num>
  <w:num w:numId="2" w16cid:durableId="434833536">
    <w:abstractNumId w:val="3"/>
  </w:num>
  <w:num w:numId="3" w16cid:durableId="1619289261">
    <w:abstractNumId w:val="12"/>
  </w:num>
  <w:num w:numId="4" w16cid:durableId="1020664649">
    <w:abstractNumId w:val="15"/>
  </w:num>
  <w:num w:numId="5" w16cid:durableId="115999169">
    <w:abstractNumId w:val="17"/>
  </w:num>
  <w:num w:numId="6" w16cid:durableId="828792381">
    <w:abstractNumId w:val="10"/>
  </w:num>
  <w:num w:numId="7" w16cid:durableId="1871844687">
    <w:abstractNumId w:val="8"/>
  </w:num>
  <w:num w:numId="8" w16cid:durableId="1939096192">
    <w:abstractNumId w:val="4"/>
  </w:num>
  <w:num w:numId="9" w16cid:durableId="1810197415">
    <w:abstractNumId w:val="18"/>
  </w:num>
  <w:num w:numId="10" w16cid:durableId="508565949">
    <w:abstractNumId w:val="19"/>
  </w:num>
  <w:num w:numId="11" w16cid:durableId="528299451">
    <w:abstractNumId w:val="13"/>
  </w:num>
  <w:num w:numId="12" w16cid:durableId="613830045">
    <w:abstractNumId w:val="9"/>
  </w:num>
  <w:num w:numId="13" w16cid:durableId="2040230155">
    <w:abstractNumId w:val="14"/>
  </w:num>
  <w:num w:numId="14" w16cid:durableId="749623021">
    <w:abstractNumId w:val="11"/>
  </w:num>
  <w:num w:numId="15" w16cid:durableId="205652152">
    <w:abstractNumId w:val="7"/>
  </w:num>
  <w:num w:numId="16" w16cid:durableId="176509094">
    <w:abstractNumId w:val="5"/>
  </w:num>
  <w:num w:numId="17" w16cid:durableId="1704674050">
    <w:abstractNumId w:val="16"/>
  </w:num>
  <w:num w:numId="18" w16cid:durableId="60256282">
    <w:abstractNumId w:val="20"/>
  </w:num>
  <w:num w:numId="19" w16cid:durableId="1848979184">
    <w:abstractNumId w:val="6"/>
  </w:num>
  <w:num w:numId="20" w16cid:durableId="690035677">
    <w:abstractNumId w:val="2"/>
  </w:num>
  <w:num w:numId="21" w16cid:durableId="208818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F0"/>
    <w:rsid w:val="00001092"/>
    <w:rsid w:val="000255F7"/>
    <w:rsid w:val="0003751A"/>
    <w:rsid w:val="000451DF"/>
    <w:rsid w:val="000528CA"/>
    <w:rsid w:val="00063AA5"/>
    <w:rsid w:val="00065565"/>
    <w:rsid w:val="000A1B43"/>
    <w:rsid w:val="000A2B67"/>
    <w:rsid w:val="000A5631"/>
    <w:rsid w:val="000A782A"/>
    <w:rsid w:val="000B6FAC"/>
    <w:rsid w:val="000C0ED2"/>
    <w:rsid w:val="000D45F1"/>
    <w:rsid w:val="000E38D2"/>
    <w:rsid w:val="001017D8"/>
    <w:rsid w:val="001024F0"/>
    <w:rsid w:val="00106EA5"/>
    <w:rsid w:val="00114127"/>
    <w:rsid w:val="0012035D"/>
    <w:rsid w:val="00127960"/>
    <w:rsid w:val="0015297A"/>
    <w:rsid w:val="001616A1"/>
    <w:rsid w:val="001624E1"/>
    <w:rsid w:val="00171F30"/>
    <w:rsid w:val="00176292"/>
    <w:rsid w:val="001904A1"/>
    <w:rsid w:val="00191491"/>
    <w:rsid w:val="001A7DE8"/>
    <w:rsid w:val="001B26B6"/>
    <w:rsid w:val="001B46F0"/>
    <w:rsid w:val="001C1BFA"/>
    <w:rsid w:val="001C1E34"/>
    <w:rsid w:val="002015D2"/>
    <w:rsid w:val="00206622"/>
    <w:rsid w:val="00221556"/>
    <w:rsid w:val="00221BAA"/>
    <w:rsid w:val="00225AD5"/>
    <w:rsid w:val="0022706D"/>
    <w:rsid w:val="00247CD4"/>
    <w:rsid w:val="002715E1"/>
    <w:rsid w:val="002717E0"/>
    <w:rsid w:val="002860D0"/>
    <w:rsid w:val="00296F2A"/>
    <w:rsid w:val="002A3BA2"/>
    <w:rsid w:val="002A3EE7"/>
    <w:rsid w:val="002C3F99"/>
    <w:rsid w:val="002D5532"/>
    <w:rsid w:val="002D6C7B"/>
    <w:rsid w:val="002E0AB8"/>
    <w:rsid w:val="002E3245"/>
    <w:rsid w:val="002F7616"/>
    <w:rsid w:val="00312B55"/>
    <w:rsid w:val="003161C7"/>
    <w:rsid w:val="003168DA"/>
    <w:rsid w:val="0032144B"/>
    <w:rsid w:val="003221B0"/>
    <w:rsid w:val="00326070"/>
    <w:rsid w:val="003318AB"/>
    <w:rsid w:val="00361353"/>
    <w:rsid w:val="003759E0"/>
    <w:rsid w:val="003766E7"/>
    <w:rsid w:val="00380F2F"/>
    <w:rsid w:val="003A2CB9"/>
    <w:rsid w:val="003B31DB"/>
    <w:rsid w:val="003C1094"/>
    <w:rsid w:val="003C220F"/>
    <w:rsid w:val="003D7AE1"/>
    <w:rsid w:val="003D7C51"/>
    <w:rsid w:val="003E139A"/>
    <w:rsid w:val="003E2284"/>
    <w:rsid w:val="0040217C"/>
    <w:rsid w:val="004046AF"/>
    <w:rsid w:val="004131CE"/>
    <w:rsid w:val="0042264C"/>
    <w:rsid w:val="00430BC3"/>
    <w:rsid w:val="00440D0B"/>
    <w:rsid w:val="004509D4"/>
    <w:rsid w:val="004740F6"/>
    <w:rsid w:val="00484FFE"/>
    <w:rsid w:val="00485EB7"/>
    <w:rsid w:val="0049254E"/>
    <w:rsid w:val="00494464"/>
    <w:rsid w:val="00496895"/>
    <w:rsid w:val="004A13F3"/>
    <w:rsid w:val="004A4EA6"/>
    <w:rsid w:val="004B70BB"/>
    <w:rsid w:val="004E63FD"/>
    <w:rsid w:val="004F394E"/>
    <w:rsid w:val="00511753"/>
    <w:rsid w:val="0052378C"/>
    <w:rsid w:val="00527039"/>
    <w:rsid w:val="005374C5"/>
    <w:rsid w:val="00545F02"/>
    <w:rsid w:val="00546964"/>
    <w:rsid w:val="00565BE3"/>
    <w:rsid w:val="005668CB"/>
    <w:rsid w:val="00567D84"/>
    <w:rsid w:val="0057640B"/>
    <w:rsid w:val="00585AE2"/>
    <w:rsid w:val="005929D3"/>
    <w:rsid w:val="00595CE9"/>
    <w:rsid w:val="005A3584"/>
    <w:rsid w:val="005A3940"/>
    <w:rsid w:val="005B6D8A"/>
    <w:rsid w:val="005C3BE5"/>
    <w:rsid w:val="005D2276"/>
    <w:rsid w:val="005F4673"/>
    <w:rsid w:val="00600C52"/>
    <w:rsid w:val="00611B4B"/>
    <w:rsid w:val="0061298F"/>
    <w:rsid w:val="00621682"/>
    <w:rsid w:val="00627BF0"/>
    <w:rsid w:val="00651E19"/>
    <w:rsid w:val="0065702E"/>
    <w:rsid w:val="0065713F"/>
    <w:rsid w:val="00663E83"/>
    <w:rsid w:val="00685CA6"/>
    <w:rsid w:val="0069433A"/>
    <w:rsid w:val="006A222E"/>
    <w:rsid w:val="006B5B6E"/>
    <w:rsid w:val="006D1AE5"/>
    <w:rsid w:val="006E186D"/>
    <w:rsid w:val="00702EB8"/>
    <w:rsid w:val="00713477"/>
    <w:rsid w:val="00724597"/>
    <w:rsid w:val="00725676"/>
    <w:rsid w:val="007334C9"/>
    <w:rsid w:val="00735115"/>
    <w:rsid w:val="007411A9"/>
    <w:rsid w:val="0075108F"/>
    <w:rsid w:val="007626E1"/>
    <w:rsid w:val="00783B62"/>
    <w:rsid w:val="007846FF"/>
    <w:rsid w:val="00794586"/>
    <w:rsid w:val="00797A16"/>
    <w:rsid w:val="007B102E"/>
    <w:rsid w:val="007B6B82"/>
    <w:rsid w:val="007C5E8F"/>
    <w:rsid w:val="007C6AA2"/>
    <w:rsid w:val="007C6F24"/>
    <w:rsid w:val="007D0A87"/>
    <w:rsid w:val="007D7C27"/>
    <w:rsid w:val="007E72E2"/>
    <w:rsid w:val="007F2B96"/>
    <w:rsid w:val="00803373"/>
    <w:rsid w:val="008047F4"/>
    <w:rsid w:val="00806CB0"/>
    <w:rsid w:val="00807480"/>
    <w:rsid w:val="0082406D"/>
    <w:rsid w:val="0083787B"/>
    <w:rsid w:val="00845FF9"/>
    <w:rsid w:val="00864797"/>
    <w:rsid w:val="008667FE"/>
    <w:rsid w:val="00871B22"/>
    <w:rsid w:val="00884825"/>
    <w:rsid w:val="00884A3C"/>
    <w:rsid w:val="008A743C"/>
    <w:rsid w:val="008B2975"/>
    <w:rsid w:val="008B3B59"/>
    <w:rsid w:val="008B7C47"/>
    <w:rsid w:val="008C06C3"/>
    <w:rsid w:val="008C42CF"/>
    <w:rsid w:val="008D332B"/>
    <w:rsid w:val="008D7E69"/>
    <w:rsid w:val="008F075A"/>
    <w:rsid w:val="008F40F9"/>
    <w:rsid w:val="00901245"/>
    <w:rsid w:val="00907A9F"/>
    <w:rsid w:val="00916E6F"/>
    <w:rsid w:val="00923464"/>
    <w:rsid w:val="009337A1"/>
    <w:rsid w:val="00947F93"/>
    <w:rsid w:val="00950B78"/>
    <w:rsid w:val="00952B92"/>
    <w:rsid w:val="009630C5"/>
    <w:rsid w:val="00976701"/>
    <w:rsid w:val="009924A9"/>
    <w:rsid w:val="009A0985"/>
    <w:rsid w:val="009A0CD3"/>
    <w:rsid w:val="009D1DF0"/>
    <w:rsid w:val="009E687D"/>
    <w:rsid w:val="00A0712B"/>
    <w:rsid w:val="00A37ABB"/>
    <w:rsid w:val="00A50225"/>
    <w:rsid w:val="00A53227"/>
    <w:rsid w:val="00A6410D"/>
    <w:rsid w:val="00A741A5"/>
    <w:rsid w:val="00A82B61"/>
    <w:rsid w:val="00A856C9"/>
    <w:rsid w:val="00AA05B5"/>
    <w:rsid w:val="00AA15CF"/>
    <w:rsid w:val="00AB1C22"/>
    <w:rsid w:val="00AB6054"/>
    <w:rsid w:val="00AB616A"/>
    <w:rsid w:val="00AC35A1"/>
    <w:rsid w:val="00AC4AE3"/>
    <w:rsid w:val="00AD004E"/>
    <w:rsid w:val="00AD46D5"/>
    <w:rsid w:val="00AF5182"/>
    <w:rsid w:val="00B13881"/>
    <w:rsid w:val="00B23E02"/>
    <w:rsid w:val="00B2705D"/>
    <w:rsid w:val="00B47532"/>
    <w:rsid w:val="00B54FA1"/>
    <w:rsid w:val="00B55535"/>
    <w:rsid w:val="00B57F2A"/>
    <w:rsid w:val="00B668AC"/>
    <w:rsid w:val="00B725B5"/>
    <w:rsid w:val="00B731E0"/>
    <w:rsid w:val="00B74532"/>
    <w:rsid w:val="00B76C97"/>
    <w:rsid w:val="00B86BD9"/>
    <w:rsid w:val="00B9514A"/>
    <w:rsid w:val="00B95D7C"/>
    <w:rsid w:val="00BA49D5"/>
    <w:rsid w:val="00BA5B5D"/>
    <w:rsid w:val="00BB1310"/>
    <w:rsid w:val="00BB1B68"/>
    <w:rsid w:val="00BB3E43"/>
    <w:rsid w:val="00BB7B41"/>
    <w:rsid w:val="00BC6AFB"/>
    <w:rsid w:val="00BD0591"/>
    <w:rsid w:val="00BE5680"/>
    <w:rsid w:val="00BE6165"/>
    <w:rsid w:val="00BF0A08"/>
    <w:rsid w:val="00C01DF9"/>
    <w:rsid w:val="00C16355"/>
    <w:rsid w:val="00C21930"/>
    <w:rsid w:val="00C2569B"/>
    <w:rsid w:val="00C41D91"/>
    <w:rsid w:val="00C51536"/>
    <w:rsid w:val="00C55D89"/>
    <w:rsid w:val="00C60A3C"/>
    <w:rsid w:val="00C76A27"/>
    <w:rsid w:val="00C913AB"/>
    <w:rsid w:val="00CB1319"/>
    <w:rsid w:val="00CC0E81"/>
    <w:rsid w:val="00CE4800"/>
    <w:rsid w:val="00CF50C0"/>
    <w:rsid w:val="00D2319E"/>
    <w:rsid w:val="00D231BB"/>
    <w:rsid w:val="00D25A13"/>
    <w:rsid w:val="00D472BF"/>
    <w:rsid w:val="00D5036E"/>
    <w:rsid w:val="00D518CD"/>
    <w:rsid w:val="00D56EED"/>
    <w:rsid w:val="00D62CA2"/>
    <w:rsid w:val="00D65E69"/>
    <w:rsid w:val="00D726BF"/>
    <w:rsid w:val="00D760E8"/>
    <w:rsid w:val="00D812E8"/>
    <w:rsid w:val="00D93D89"/>
    <w:rsid w:val="00D9699F"/>
    <w:rsid w:val="00D97335"/>
    <w:rsid w:val="00DA0C09"/>
    <w:rsid w:val="00DA46E0"/>
    <w:rsid w:val="00DB2FDD"/>
    <w:rsid w:val="00DD6A01"/>
    <w:rsid w:val="00DE1331"/>
    <w:rsid w:val="00DF71EE"/>
    <w:rsid w:val="00DF7B8D"/>
    <w:rsid w:val="00E060BA"/>
    <w:rsid w:val="00E06A7B"/>
    <w:rsid w:val="00E12935"/>
    <w:rsid w:val="00E24E84"/>
    <w:rsid w:val="00E37395"/>
    <w:rsid w:val="00E466CC"/>
    <w:rsid w:val="00E51803"/>
    <w:rsid w:val="00E67D52"/>
    <w:rsid w:val="00E719DC"/>
    <w:rsid w:val="00E77B1C"/>
    <w:rsid w:val="00E8207A"/>
    <w:rsid w:val="00E85B40"/>
    <w:rsid w:val="00E9336E"/>
    <w:rsid w:val="00E93627"/>
    <w:rsid w:val="00EA02FD"/>
    <w:rsid w:val="00EA56A7"/>
    <w:rsid w:val="00EB3591"/>
    <w:rsid w:val="00EB6330"/>
    <w:rsid w:val="00EC2F50"/>
    <w:rsid w:val="00EC5F49"/>
    <w:rsid w:val="00ED78A1"/>
    <w:rsid w:val="00EE2B26"/>
    <w:rsid w:val="00F0049D"/>
    <w:rsid w:val="00F1373A"/>
    <w:rsid w:val="00F1721D"/>
    <w:rsid w:val="00F20F37"/>
    <w:rsid w:val="00F22325"/>
    <w:rsid w:val="00F261E8"/>
    <w:rsid w:val="00F310DA"/>
    <w:rsid w:val="00F677D9"/>
    <w:rsid w:val="00F8173E"/>
    <w:rsid w:val="00F92A3B"/>
    <w:rsid w:val="00F97A2B"/>
    <w:rsid w:val="00FB38BA"/>
    <w:rsid w:val="00FC172E"/>
    <w:rsid w:val="00FC78F0"/>
    <w:rsid w:val="00FF520C"/>
    <w:rsid w:val="00FF581F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C133F"/>
  <w15:docId w15:val="{40D2DCC1-AB3F-407B-B556-531EA3DE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unhideWhenUsed/>
    <w:rsid w:val="00B95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95D7C"/>
    <w:rPr>
      <w:rFonts w:ascii="Arial" w:hAnsi="Arial"/>
      <w:b/>
      <w:i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9729B57E2CE418EEDE7ADCEC40917" ma:contentTypeVersion="16" ma:contentTypeDescription="Create a new document." ma:contentTypeScope="" ma:versionID="b3b671d7ce764606e2988bcd164801ee">
  <xsd:schema xmlns:xsd="http://www.w3.org/2001/XMLSchema" xmlns:xs="http://www.w3.org/2001/XMLSchema" xmlns:p="http://schemas.microsoft.com/office/2006/metadata/properties" xmlns:ns2="0c62aeed-9e5e-443b-a463-e33a88f01622" xmlns:ns3="ca31dbb0-cbb8-4aee-9b43-dc7bd4fab903" targetNamespace="http://schemas.microsoft.com/office/2006/metadata/properties" ma:root="true" ma:fieldsID="c2557bdcaafd47cfa75eeb2aa0938302" ns2:_="" ns3:_="">
    <xsd:import namespace="0c62aeed-9e5e-443b-a463-e33a88f01622"/>
    <xsd:import namespace="ca31dbb0-cbb8-4aee-9b43-dc7bd4fab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2aeed-9e5e-443b-a463-e33a88f01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1dbb0-cbb8-4aee-9b43-dc7bd4fab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18E597-2D35-46FF-9C38-3AC0FC453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2aeed-9e5e-443b-a463-e33a88f01622"/>
    <ds:schemaRef ds:uri="ca31dbb0-cbb8-4aee-9b43-dc7bd4fab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360</Words>
  <Characters>2057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Wildig</dc:creator>
  <cp:keywords/>
  <dc:description/>
  <cp:lastModifiedBy>Jack Ramus</cp:lastModifiedBy>
  <cp:revision>39</cp:revision>
  <cp:lastPrinted>2019-10-15T16:43:00Z</cp:lastPrinted>
  <dcterms:created xsi:type="dcterms:W3CDTF">2026-03-16T12:27:00Z</dcterms:created>
  <dcterms:modified xsi:type="dcterms:W3CDTF">2026-03-16T14:01:00Z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0x01010099C9729B57E2CE418EEDE7ADCEC40917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</Properties>
</file>