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8" w:type="dxa"/>
        <w:tblLook w:val="04A0" w:firstRow="1" w:lastRow="0" w:firstColumn="1" w:lastColumn="0" w:noHBand="0" w:noVBand="1"/>
      </w:tblPr>
      <w:tblGrid>
        <w:gridCol w:w="4701"/>
        <w:gridCol w:w="8559"/>
        <w:gridCol w:w="681"/>
        <w:gridCol w:w="1097"/>
        <w:gridCol w:w="222"/>
      </w:tblGrid>
      <w:tr w:rsidR="00026A61" w:rsidRPr="00026A61" w14:paraId="200B1EB5" w14:textId="77777777" w:rsidTr="00732C41">
        <w:trPr>
          <w:gridAfter w:val="1"/>
          <w:trHeight w:val="406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88445"/>
            <w:vAlign w:val="center"/>
            <w:hideMark/>
          </w:tcPr>
          <w:p w14:paraId="4F8442FF" w14:textId="77777777" w:rsidR="00026A61" w:rsidRPr="00026A61" w:rsidRDefault="00026A61" w:rsidP="0002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ROLE PROFILE</w:t>
            </w:r>
            <w:r w:rsidRPr="00026A61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2048BB" w:rsidRPr="00026A61" w14:paraId="180CD0C4" w14:textId="77777777" w:rsidTr="001A23E7">
        <w:trPr>
          <w:gridAfter w:val="1"/>
          <w:trHeight w:val="30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65A5D91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Job title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58725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Finance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6B9E56BA" w14:textId="77777777" w:rsidR="00026A61" w:rsidRPr="00026A61" w:rsidRDefault="00026A61" w:rsidP="0002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217EE" w14:textId="24C6D423" w:rsidR="00026A61" w:rsidRPr="00026A61" w:rsidRDefault="007F25F1" w:rsidP="00026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February</w:t>
            </w:r>
            <w:r w:rsidR="00A32BB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202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  <w:tr w:rsidR="002048BB" w:rsidRPr="00026A61" w14:paraId="0583F8C5" w14:textId="77777777" w:rsidTr="001A23E7">
        <w:trPr>
          <w:gridAfter w:val="1"/>
          <w:trHeight w:val="30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3EB1B7BC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Business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27A8B" w14:textId="344EEAFB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Samworth Brothers</w:t>
            </w:r>
            <w:r w:rsidR="00262C9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r w:rsidR="0086408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Meals</w:t>
            </w:r>
          </w:p>
        </w:tc>
      </w:tr>
      <w:tr w:rsidR="002048BB" w:rsidRPr="00026A61" w14:paraId="13CAC8CE" w14:textId="77777777" w:rsidTr="001A23E7">
        <w:trPr>
          <w:gridAfter w:val="1"/>
          <w:trHeight w:val="30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32EB61FA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Department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A877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Finance</w:t>
            </w:r>
          </w:p>
        </w:tc>
      </w:tr>
      <w:tr w:rsidR="002048BB" w:rsidRPr="00026A61" w14:paraId="1B7B210C" w14:textId="77777777" w:rsidTr="001A23E7">
        <w:trPr>
          <w:gridAfter w:val="1"/>
          <w:trHeight w:val="30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658636A3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B0712" w14:textId="4B9DEE34" w:rsidR="00026A61" w:rsidRPr="00026A61" w:rsidRDefault="00872E2A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Leicester</w:t>
            </w:r>
            <w:r w:rsidR="00026A61"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026A61" w:rsidRPr="00026A61" w14:paraId="3196E0EE" w14:textId="77777777" w:rsidTr="00007401">
        <w:trPr>
          <w:gridAfter w:val="1"/>
          <w:trHeight w:val="30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88445"/>
            <w:vAlign w:val="center"/>
            <w:hideMark/>
          </w:tcPr>
          <w:p w14:paraId="5DAF853A" w14:textId="77777777" w:rsidR="00026A61" w:rsidRPr="00026A61" w:rsidRDefault="00026A61" w:rsidP="0002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 xml:space="preserve">ROLE SUMMARY </w:t>
            </w:r>
          </w:p>
        </w:tc>
      </w:tr>
      <w:tr w:rsidR="00026A61" w:rsidRPr="00026A61" w14:paraId="21E6F27E" w14:textId="77777777" w:rsidTr="00007401">
        <w:trPr>
          <w:gridAfter w:val="1"/>
          <w:trHeight w:val="29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43FE2A8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026A61" w:rsidRPr="00026A61" w14:paraId="54B0F4A4" w14:textId="77777777" w:rsidTr="00007401">
        <w:trPr>
          <w:gridAfter w:val="1"/>
          <w:trHeight w:val="3705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91F0FE6" w14:textId="3277898D" w:rsidR="00B3782B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We have a need for an</w:t>
            </w:r>
            <w:r w:rsidR="00E53D6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experienced Finance Manager to join Samworth Brothers</w:t>
            </w:r>
            <w:r w:rsidR="00262C9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- </w:t>
            </w:r>
            <w:r w:rsidR="0086408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Meals</w:t>
            </w: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. The role </w:t>
            </w:r>
            <w:r w:rsidR="00EC3F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sits on the </w:t>
            </w:r>
            <w:r w:rsidR="00E53D6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Meals Finance </w:t>
            </w:r>
            <w:r w:rsidR="00EC3FD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Leadership Team </w:t>
            </w:r>
            <w:r w:rsidR="002048B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representing both Kettleby &amp; Saladworks</w:t>
            </w:r>
            <w:r w:rsidR="00B3782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5EB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and </w:t>
            </w: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reports </w:t>
            </w:r>
            <w:r w:rsidR="00295EB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to </w:t>
            </w: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</w:t>
            </w:r>
            <w:r w:rsidR="007D2C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DC03D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Head of Operations Finance</w:t>
            </w:r>
            <w:r w:rsidR="006A326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  <w:p w14:paraId="6B144717" w14:textId="77777777" w:rsidR="008C3AA5" w:rsidRDefault="008C3AA5" w:rsidP="00026A6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5C92F980" w14:textId="0B30208F" w:rsidR="003C59A9" w:rsidRDefault="008C3AA5" w:rsidP="00026A6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</w:t>
            </w:r>
            <w:r w:rsidR="00026A61"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he Finance Manager</w:t>
            </w:r>
            <w:r w:rsidR="00295EB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026A61"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will </w:t>
            </w:r>
            <w:r w:rsidR="0044337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act as </w:t>
            </w:r>
            <w:r w:rsidR="006A326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 </w:t>
            </w:r>
            <w:r w:rsidR="0044337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key business partner working alongside the operational management team, </w:t>
            </w:r>
            <w:r w:rsidR="00295EB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help to </w:t>
            </w:r>
            <w:r w:rsidR="00026A61"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deliver strong financial disciplines, </w:t>
            </w:r>
            <w:r w:rsidR="001356B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and </w:t>
            </w:r>
            <w:r w:rsidR="0044337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</w:t>
            </w:r>
            <w:r w:rsidR="00026A61"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ommercial</w:t>
            </w:r>
            <w:r w:rsidR="00295EB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&amp; </w:t>
            </w:r>
            <w:r w:rsidR="0044337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</w:t>
            </w:r>
            <w:r w:rsidR="00026A61"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perational challenge </w:t>
            </w:r>
            <w:r w:rsidR="0044337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to drive sustainable improvement in financial performance.</w:t>
            </w:r>
            <w:r w:rsidR="001356B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  <w:p w14:paraId="33D30E7B" w14:textId="77777777" w:rsidR="003C59A9" w:rsidRDefault="003C59A9" w:rsidP="00026A6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33F18CBD" w14:textId="0D7A9C83" w:rsidR="00026A61" w:rsidRPr="00026A61" w:rsidRDefault="001356B6" w:rsidP="00026A6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The role is one of a true business partner, using financial knowledge and disciplines to drive improved understanding of </w:t>
            </w:r>
            <w:r w:rsidR="00CB75D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 Meals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performance, and challenge for continuous improvement. Strong analytical skills, as well as the capability to influence ‘up &amp; over’ are key requisites for success in this role.   </w:t>
            </w:r>
          </w:p>
        </w:tc>
      </w:tr>
      <w:tr w:rsidR="00026A61" w:rsidRPr="00026A61" w14:paraId="38B71C59" w14:textId="77777777" w:rsidTr="00007401">
        <w:trPr>
          <w:gridAfter w:val="1"/>
          <w:trHeight w:val="300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62A7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26A61" w:rsidRPr="00026A61" w14:paraId="72C8CE69" w14:textId="77777777" w:rsidTr="00007401">
        <w:trPr>
          <w:gridAfter w:val="1"/>
          <w:trHeight w:val="30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88445"/>
            <w:vAlign w:val="center"/>
            <w:hideMark/>
          </w:tcPr>
          <w:p w14:paraId="63C7605D" w14:textId="77777777" w:rsidR="00026A61" w:rsidRPr="00026A61" w:rsidRDefault="00026A61" w:rsidP="0002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REPORTING STRUCTURE</w:t>
            </w:r>
          </w:p>
        </w:tc>
      </w:tr>
      <w:tr w:rsidR="002048BB" w:rsidRPr="00026A61" w14:paraId="7ADE3F27" w14:textId="77777777" w:rsidTr="001A23E7">
        <w:trPr>
          <w:gridAfter w:val="1"/>
          <w:trHeight w:val="30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1CA3914D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Reports to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9F3E4" w14:textId="13BF01ED" w:rsidR="00026A61" w:rsidRPr="00026A61" w:rsidRDefault="00026CE3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Head of Operations Finance</w:t>
            </w:r>
          </w:p>
        </w:tc>
      </w:tr>
      <w:tr w:rsidR="002048BB" w:rsidRPr="00026A61" w14:paraId="22CDDBF3" w14:textId="77777777" w:rsidTr="001A23E7">
        <w:trPr>
          <w:gridAfter w:val="1"/>
          <w:trHeight w:val="30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3B29A664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Direct Reports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E12178" w14:textId="19CDA1E9" w:rsidR="00026A61" w:rsidRPr="00026A61" w:rsidRDefault="001E50A7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2048BB" w:rsidRPr="00026A61" w14:paraId="18F1D986" w14:textId="77777777" w:rsidTr="001A23E7">
        <w:trPr>
          <w:gridAfter w:val="1"/>
          <w:trHeight w:val="1995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4E7BCD9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Key internal stakeholders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A4123" w14:textId="06C3C05A" w:rsidR="00026A61" w:rsidRPr="00026A61" w:rsidRDefault="008577E6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Meals </w:t>
            </w:r>
            <w:r w:rsidR="00026A61"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Site Leadership Team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s</w:t>
            </w:r>
            <w:r w:rsidR="00026A61"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, Operational and Commercial Managers within the business. </w:t>
            </w:r>
            <w:r w:rsidR="003C59A9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Meals</w:t>
            </w:r>
            <w:r w:rsidR="00026A61"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&amp; Group Finance. Group Procurement. SB Shared Service Centre</w:t>
            </w:r>
          </w:p>
        </w:tc>
      </w:tr>
      <w:tr w:rsidR="002048BB" w:rsidRPr="00026A61" w14:paraId="12238298" w14:textId="77777777" w:rsidTr="001A23E7">
        <w:trPr>
          <w:gridAfter w:val="1"/>
          <w:trHeight w:val="57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DEE"/>
            <w:vAlign w:val="center"/>
            <w:hideMark/>
          </w:tcPr>
          <w:p w14:paraId="11329C4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Key external stakeholders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15AC1" w14:textId="5DA0D4AF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BDO, Coleby’s, Locktons</w:t>
            </w:r>
          </w:p>
        </w:tc>
      </w:tr>
      <w:tr w:rsidR="00026A61" w:rsidRPr="00026A61" w14:paraId="31579BED" w14:textId="77777777" w:rsidTr="00007401">
        <w:trPr>
          <w:gridAfter w:val="1"/>
          <w:trHeight w:val="57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88445"/>
            <w:vAlign w:val="center"/>
            <w:hideMark/>
          </w:tcPr>
          <w:p w14:paraId="7755CAF2" w14:textId="19E25E3C" w:rsidR="00026A61" w:rsidRPr="00026A61" w:rsidRDefault="00026A61" w:rsidP="0002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 xml:space="preserve">KEY </w:t>
            </w:r>
            <w:r w:rsidR="00AB52D8"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ACCOUNTABILITIES AND</w:t>
            </w: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 xml:space="preserve"> RESPONSIBILITIES </w:t>
            </w:r>
          </w:p>
        </w:tc>
      </w:tr>
      <w:tr w:rsidR="00026A61" w:rsidRPr="00026A61" w14:paraId="3A46BF2B" w14:textId="77777777" w:rsidTr="00007401">
        <w:trPr>
          <w:gridAfter w:val="1"/>
          <w:trHeight w:val="29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905B03D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26A61" w:rsidRPr="00026A61" w14:paraId="1C09B148" w14:textId="77777777" w:rsidTr="00007401">
        <w:trPr>
          <w:gridAfter w:val="1"/>
          <w:trHeight w:val="851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06F2FFF" w14:textId="4A99FE72" w:rsidR="00C96343" w:rsidRDefault="00D52A60" w:rsidP="00C963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Compile, challenge and reconcile Budgeting, Forecasting and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Period end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processes</w:t>
            </w:r>
            <w:r w:rsidR="009E24B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– Meals category</w:t>
            </w:r>
            <w:r w:rsidR="0046370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29B0C994" w14:textId="77777777" w:rsidR="00C96343" w:rsidRDefault="00C96343" w:rsidP="00C96343">
            <w:pPr>
              <w:pStyle w:val="ListParagraph"/>
              <w:spacing w:after="0" w:line="240" w:lineRule="auto"/>
              <w:ind w:left="410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5445919A" w14:textId="7250EFA4" w:rsidR="00C96343" w:rsidRDefault="00D52A60" w:rsidP="00C963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963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Drive an improvement culture, measuring/monitoring and </w:t>
            </w:r>
            <w:r w:rsidR="0003131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reporting on Business Insights</w:t>
            </w:r>
            <w:r w:rsidR="00FD546C" w:rsidRPr="00C963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6D91703C" w14:textId="77777777" w:rsidR="00C96343" w:rsidRDefault="00C96343" w:rsidP="00C96343">
            <w:pPr>
              <w:pStyle w:val="ListParagraph"/>
              <w:spacing w:after="0" w:line="240" w:lineRule="auto"/>
              <w:ind w:left="410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5AD9767A" w14:textId="52A27C9C" w:rsidR="00C96343" w:rsidRDefault="00D52A60" w:rsidP="00C963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963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Support and challenge </w:t>
            </w:r>
            <w:r w:rsidR="0003131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Meals</w:t>
            </w:r>
            <w:r w:rsidR="003D72F1" w:rsidRPr="00C963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C963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Overhead and Labour control</w:t>
            </w:r>
            <w:r w:rsidR="00FD546C" w:rsidRPr="00C963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7FF0AF10" w14:textId="77777777" w:rsidR="00C96343" w:rsidRDefault="00C96343" w:rsidP="00C96343">
            <w:pPr>
              <w:pStyle w:val="ListParagraph"/>
              <w:spacing w:after="0" w:line="240" w:lineRule="auto"/>
              <w:ind w:left="410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49547FB5" w14:textId="60415363" w:rsidR="00C96343" w:rsidRDefault="00A20C76" w:rsidP="00C963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963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Challenge and support the costing process including standards review, working in conjunction with the Commercial Finance team</w:t>
            </w:r>
            <w:r w:rsidR="007D04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49B40EA8" w14:textId="77777777" w:rsidR="00C96343" w:rsidRPr="00C96343" w:rsidRDefault="00C96343" w:rsidP="00C96343">
            <w:pPr>
              <w:pStyle w:val="ListParagrap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2D1C6F3A" w14:textId="7BD16783" w:rsidR="001356B6" w:rsidRDefault="001356B6" w:rsidP="00C963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C96343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Conduct ad hoc investigation &amp; analysis work, as required to assist in</w:t>
            </w:r>
            <w:r w:rsidR="00AB52D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7549F18B" w14:textId="77777777" w:rsidR="00AB52D8" w:rsidRPr="00AB52D8" w:rsidRDefault="00AB52D8" w:rsidP="00AB5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05A82F88" w14:textId="1561B3B5" w:rsidR="00FD546C" w:rsidRDefault="00FD546C" w:rsidP="00FD54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FD546C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Provide leadership for key projects</w:t>
            </w:r>
            <w:r w:rsidR="007D04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40C62328" w14:textId="77777777" w:rsidR="00AB52D8" w:rsidRPr="00AB52D8" w:rsidRDefault="00AB52D8" w:rsidP="00AB52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5A2A18E3" w14:textId="4FF1CC9D" w:rsidR="003D72F1" w:rsidRPr="001356B6" w:rsidRDefault="003D72F1" w:rsidP="001356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Maintain a strong working relationship with the </w:t>
            </w:r>
            <w:r w:rsidR="00E323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CLT, </w:t>
            </w:r>
            <w:r w:rsidR="00AB52D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</w:t>
            </w:r>
            <w:r w:rsidRP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LT,</w:t>
            </w:r>
            <w:r w:rsidR="00E32302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 w:rsidRP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all other functional managers in the business</w:t>
            </w:r>
            <w:r w:rsidR="00AB52D8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  <w:tr w:rsidR="00026A61" w:rsidRPr="00026A61" w14:paraId="72904337" w14:textId="77777777" w:rsidTr="00007401">
        <w:trPr>
          <w:gridAfter w:val="1"/>
          <w:trHeight w:val="851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2A9EA1B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1C475878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0D7B5493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6C7218B8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4652AF78" w14:textId="77777777" w:rsidR="00A32BBC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0D64E41F" w14:textId="5029B818" w:rsidR="00A32BBC" w:rsidRPr="001356B6" w:rsidRDefault="00A32BBC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6A61" w:rsidRPr="00026A61" w14:paraId="7932167A" w14:textId="77777777" w:rsidTr="00007401">
        <w:trPr>
          <w:gridAfter w:val="1"/>
          <w:trHeight w:val="57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88445"/>
            <w:vAlign w:val="center"/>
            <w:hideMark/>
          </w:tcPr>
          <w:p w14:paraId="4F2C7FDD" w14:textId="77777777" w:rsidR="00026A61" w:rsidRPr="00026A61" w:rsidRDefault="00026A61" w:rsidP="0002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QUALIFICATIONS, EXPERIENCE, TECHNICAL SKILLS / KNOWLEDGE</w:t>
            </w:r>
          </w:p>
        </w:tc>
      </w:tr>
      <w:tr w:rsidR="00026A61" w:rsidRPr="00026A61" w14:paraId="2404D3C8" w14:textId="77777777" w:rsidTr="00007401">
        <w:trPr>
          <w:gridAfter w:val="1"/>
          <w:trHeight w:val="29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E7FDFCD" w14:textId="77777777" w:rsidR="00A32BBC" w:rsidRDefault="00A32BBC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  <w:p w14:paraId="11953451" w14:textId="40C34773" w:rsidR="00026A61" w:rsidRPr="00026A61" w:rsidRDefault="00A32BBC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The ideal candidate will;</w:t>
            </w:r>
            <w:r w:rsidR="00026A61"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26A61" w:rsidRPr="00026A61" w14:paraId="55112C16" w14:textId="77777777" w:rsidTr="00007401">
        <w:trPr>
          <w:gridAfter w:val="1"/>
          <w:trHeight w:val="851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39F65CC" w14:textId="37558B98" w:rsidR="00026A61" w:rsidRPr="00026A61" w:rsidRDefault="00026A61" w:rsidP="00026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026A6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          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be a qualified accountant;</w:t>
            </w:r>
          </w:p>
        </w:tc>
      </w:tr>
      <w:tr w:rsidR="00026A61" w:rsidRPr="00026A61" w14:paraId="09F8CD8E" w14:textId="77777777" w:rsidTr="00007401">
        <w:trPr>
          <w:gridAfter w:val="1"/>
          <w:trHeight w:val="851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D70584F" w14:textId="77777777" w:rsidR="00026A61" w:rsidRPr="00026A61" w:rsidRDefault="00026A61" w:rsidP="00026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026A6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          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have a background in a manufacturing and/or FMCG business;</w:t>
            </w:r>
          </w:p>
        </w:tc>
      </w:tr>
      <w:tr w:rsidR="00026A61" w:rsidRPr="00026A61" w14:paraId="7B57F915" w14:textId="77777777" w:rsidTr="00007401">
        <w:trPr>
          <w:gridAfter w:val="1"/>
          <w:trHeight w:val="851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8F287FF" w14:textId="6983321D" w:rsidR="00026A61" w:rsidRPr="00026A61" w:rsidRDefault="00026A61" w:rsidP="00026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026A6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          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be able to demonstrate expertise in all aspects of manufacturing and commercial finance, </w:t>
            </w:r>
            <w:r w:rsid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with ability to challenge performance and work with management teams to achieve continuous improvement. </w:t>
            </w:r>
          </w:p>
        </w:tc>
      </w:tr>
      <w:tr w:rsidR="00026A61" w:rsidRPr="00026A61" w14:paraId="641155EC" w14:textId="77777777" w:rsidTr="00007401">
        <w:trPr>
          <w:gridAfter w:val="1"/>
          <w:trHeight w:val="851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FB8459" w14:textId="6A19AF64" w:rsidR="00026A61" w:rsidRPr="001356B6" w:rsidRDefault="00026A61" w:rsidP="001356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356B6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have experience of and be the catalyst for the delivery of business improvement projects;</w:t>
            </w:r>
          </w:p>
        </w:tc>
      </w:tr>
      <w:tr w:rsidR="00026A61" w:rsidRPr="00026A61" w14:paraId="6E77F6B0" w14:textId="77777777" w:rsidTr="00007401">
        <w:trPr>
          <w:gridAfter w:val="1"/>
          <w:trHeight w:val="851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81A27DD" w14:textId="77777777" w:rsidR="00026A61" w:rsidRPr="00026A61" w:rsidRDefault="00026A61" w:rsidP="00026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r w:rsidRPr="00026A61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          </w:t>
            </w: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demonstrate the ability to influence others at all levels in the Group.</w:t>
            </w:r>
          </w:p>
        </w:tc>
      </w:tr>
      <w:tr w:rsidR="00026A61" w:rsidRPr="00026A61" w14:paraId="27DB77EA" w14:textId="77777777" w:rsidTr="00007401">
        <w:trPr>
          <w:gridAfter w:val="1"/>
          <w:trHeight w:val="585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B3FC0FE" w14:textId="5BD0E836" w:rsidR="00026A61" w:rsidRPr="00026A61" w:rsidRDefault="00026A61" w:rsidP="00026A6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6A61" w:rsidRPr="00026A61" w14:paraId="2E3E63E7" w14:textId="77777777" w:rsidTr="00007401">
        <w:trPr>
          <w:gridAfter w:val="1"/>
          <w:trHeight w:val="300"/>
        </w:trPr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402DB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</w:tr>
      <w:tr w:rsidR="00026A61" w:rsidRPr="00026A61" w14:paraId="3D483226" w14:textId="77777777" w:rsidTr="00007401">
        <w:trPr>
          <w:gridAfter w:val="1"/>
          <w:trHeight w:val="85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88445"/>
            <w:vAlign w:val="center"/>
            <w:hideMark/>
          </w:tcPr>
          <w:p w14:paraId="2A8B4E51" w14:textId="77777777" w:rsidR="00026A61" w:rsidRPr="00026A61" w:rsidRDefault="00026A61" w:rsidP="00026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FFFFFF"/>
                <w:kern w:val="0"/>
                <w:lang w:eastAsia="en-GB"/>
                <w14:ligatures w14:val="none"/>
              </w:rPr>
              <w:lastRenderedPageBreak/>
              <w:t>CORE COMPETENCIES, ATTRIBUTES &amp; BEHAVIOURS FOR SUCCESS</w:t>
            </w:r>
          </w:p>
        </w:tc>
      </w:tr>
      <w:tr w:rsidR="002048BB" w:rsidRPr="00026A61" w14:paraId="28ED824F" w14:textId="77777777" w:rsidTr="001A23E7">
        <w:trPr>
          <w:gridAfter w:val="1"/>
          <w:trHeight w:val="30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8A28A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Competency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04D97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Descriptors</w:t>
            </w:r>
          </w:p>
        </w:tc>
      </w:tr>
      <w:tr w:rsidR="002048BB" w:rsidRPr="00026A61" w14:paraId="5C0AA59D" w14:textId="77777777" w:rsidTr="001A23E7">
        <w:trPr>
          <w:gridAfter w:val="1"/>
          <w:trHeight w:val="285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CCC1E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Values People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F7650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Demonstrates the belief that people are our most important asset and central to the success of the Organisation. Creates a culture where everybody body is treated with dignity and respect at all times and diversity of thought is encouraged.</w:t>
            </w:r>
          </w:p>
        </w:tc>
      </w:tr>
      <w:tr w:rsidR="002048BB" w:rsidRPr="00026A61" w14:paraId="4D4C52BF" w14:textId="77777777" w:rsidTr="001A23E7">
        <w:trPr>
          <w:gridAfter w:val="1"/>
          <w:trHeight w:val="171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806DF9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Customer Focus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7BF8D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Demonstrates the understanding that the satisfaction of our internal and external customers is the foundation of our success.</w:t>
            </w:r>
          </w:p>
        </w:tc>
      </w:tr>
      <w:tr w:rsidR="002048BB" w:rsidRPr="00026A61" w14:paraId="5754434B" w14:textId="77777777" w:rsidTr="001A23E7">
        <w:trPr>
          <w:gridAfter w:val="1"/>
          <w:trHeight w:val="1965"/>
        </w:trPr>
        <w:tc>
          <w:tcPr>
            <w:tcW w:w="39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F5104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Collaborative Team working</w:t>
            </w:r>
          </w:p>
        </w:tc>
        <w:tc>
          <w:tcPr>
            <w:tcW w:w="1105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3C1F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Demonstrates the ability to influence, persuade and collaborate across the Samworth Brothers Business and Group Functions to sustainable profitable growth for the Group</w:t>
            </w:r>
          </w:p>
        </w:tc>
      </w:tr>
      <w:tr w:rsidR="002048BB" w:rsidRPr="00026A61" w14:paraId="13FBD555" w14:textId="77777777" w:rsidTr="001A23E7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6810A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105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152F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E07C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</w:pPr>
          </w:p>
        </w:tc>
      </w:tr>
      <w:tr w:rsidR="002048BB" w:rsidRPr="00026A61" w14:paraId="110DE4C2" w14:textId="77777777" w:rsidTr="001A23E7">
        <w:trPr>
          <w:trHeight w:val="1425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3E104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Flexibility &amp; adaptability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C26B4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>The ability to change and adapt own behaviour or work procedures when there is a change in the work environment.</w:t>
            </w:r>
          </w:p>
        </w:tc>
        <w:tc>
          <w:tcPr>
            <w:tcW w:w="0" w:type="auto"/>
            <w:vAlign w:val="center"/>
            <w:hideMark/>
          </w:tcPr>
          <w:p w14:paraId="38758F79" w14:textId="77777777" w:rsidR="00026A61" w:rsidRPr="00026A61" w:rsidRDefault="00026A61" w:rsidP="00026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48BB" w:rsidRPr="00026A61" w14:paraId="0F179BF4" w14:textId="77777777" w:rsidTr="001A23E7">
        <w:trPr>
          <w:trHeight w:val="2250"/>
        </w:trPr>
        <w:tc>
          <w:tcPr>
            <w:tcW w:w="39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DAB1C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People Management</w:t>
            </w:r>
          </w:p>
        </w:tc>
        <w:tc>
          <w:tcPr>
            <w:tcW w:w="1105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6A39B2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>Demonstrates good emotional intelligence with the ability to build, develop and lead a great team and to understand people and their motivations, build good relationships with them and help them unlock their potential</w:t>
            </w:r>
          </w:p>
        </w:tc>
        <w:tc>
          <w:tcPr>
            <w:tcW w:w="0" w:type="auto"/>
            <w:vAlign w:val="center"/>
            <w:hideMark/>
          </w:tcPr>
          <w:p w14:paraId="36344A6A" w14:textId="77777777" w:rsidR="00026A61" w:rsidRPr="00026A61" w:rsidRDefault="00026A61" w:rsidP="00026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48BB" w:rsidRPr="00026A61" w14:paraId="6ED7788C" w14:textId="77777777" w:rsidTr="001A23E7">
        <w:trPr>
          <w:trHeight w:val="300"/>
        </w:trPr>
        <w:tc>
          <w:tcPr>
            <w:tcW w:w="39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69225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05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15941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D4D9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048BB" w:rsidRPr="00026A61" w14:paraId="7E618CA5" w14:textId="77777777" w:rsidTr="001A23E7">
        <w:trPr>
          <w:trHeight w:val="1995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88C64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Commercial Awareness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ECA25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>Demonstrates an understanding of the Commercial impact decisions and actions have on the Organisation in line with People, Quality, Profit and Federalism.</w:t>
            </w:r>
          </w:p>
        </w:tc>
        <w:tc>
          <w:tcPr>
            <w:tcW w:w="0" w:type="auto"/>
            <w:vAlign w:val="center"/>
            <w:hideMark/>
          </w:tcPr>
          <w:p w14:paraId="6C4DC3E8" w14:textId="77777777" w:rsidR="00026A61" w:rsidRPr="00026A61" w:rsidRDefault="00026A61" w:rsidP="00026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48BB" w:rsidRPr="00026A61" w14:paraId="324229D6" w14:textId="77777777" w:rsidTr="001A23E7">
        <w:trPr>
          <w:trHeight w:val="57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D8F66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Engaging others through change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326D4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>Outstanding communicator; generating genuine motivation and commitment to deliver change.</w:t>
            </w:r>
          </w:p>
        </w:tc>
        <w:tc>
          <w:tcPr>
            <w:tcW w:w="0" w:type="auto"/>
            <w:vAlign w:val="center"/>
            <w:hideMark/>
          </w:tcPr>
          <w:p w14:paraId="680566B5" w14:textId="77777777" w:rsidR="00026A61" w:rsidRPr="00026A61" w:rsidRDefault="00026A61" w:rsidP="00026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48BB" w:rsidRPr="00026A61" w14:paraId="0D6B216D" w14:textId="77777777" w:rsidTr="001A23E7">
        <w:trPr>
          <w:trHeight w:val="171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BC8CA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Focusing on the future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2C341" w14:textId="77777777" w:rsidR="00026A61" w:rsidRPr="00026A61" w:rsidRDefault="00026A61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Demonstrates enthusiasm about our future by identifying strategic issues, opportunities to drive sustainable, profitable growth, and managing risk. </w:t>
            </w:r>
          </w:p>
        </w:tc>
        <w:tc>
          <w:tcPr>
            <w:tcW w:w="0" w:type="auto"/>
            <w:vAlign w:val="center"/>
            <w:hideMark/>
          </w:tcPr>
          <w:p w14:paraId="2CE94E3C" w14:textId="77777777" w:rsidR="00026A61" w:rsidRPr="00026A61" w:rsidRDefault="00026A61" w:rsidP="00026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48BB" w:rsidRPr="00026A61" w14:paraId="49A804A0" w14:textId="77777777" w:rsidTr="001A23E7">
        <w:trPr>
          <w:trHeight w:val="2850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EE0CF7" w14:textId="77777777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Developing Partnerships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44CAE" w14:textId="77777777" w:rsidR="00026A61" w:rsidRPr="00026A61" w:rsidRDefault="00026A61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>The ability to establish formal and informal relationships inside and outside the organisation, and to anticipate and balance the needs of all stakeholders whose cooperation is needed for the long-term success of the business.</w:t>
            </w:r>
          </w:p>
        </w:tc>
        <w:tc>
          <w:tcPr>
            <w:tcW w:w="0" w:type="auto"/>
            <w:vAlign w:val="center"/>
            <w:hideMark/>
          </w:tcPr>
          <w:p w14:paraId="7CAE66BB" w14:textId="77777777" w:rsidR="00026A61" w:rsidRPr="00026A61" w:rsidRDefault="00026A61" w:rsidP="00026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48BB" w:rsidRPr="00026A61" w14:paraId="6478AEE3" w14:textId="77777777" w:rsidTr="00EC0E8B">
        <w:trPr>
          <w:trHeight w:val="2616"/>
        </w:trPr>
        <w:tc>
          <w:tcPr>
            <w:tcW w:w="3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64F28" w14:textId="083FA0C4" w:rsidR="00026A61" w:rsidRPr="00026A61" w:rsidRDefault="00026A61" w:rsidP="00026A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Decision making &amp; Judgement</w:t>
            </w:r>
          </w:p>
        </w:tc>
        <w:tc>
          <w:tcPr>
            <w:tcW w:w="1105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793FD" w14:textId="52149C34" w:rsidR="00026A61" w:rsidRPr="00026A61" w:rsidRDefault="00026A61" w:rsidP="00026A6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Demonstrates the ability to deal with complexity and make timely and informed decisions that </w:t>
            </w:r>
            <w:r w:rsidR="00EC0E8B"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>consider</w:t>
            </w:r>
            <w:r w:rsidRPr="00026A6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the facts, goals, constraints and risks that keep the Organisation moving forward in line with People, Quality Profit and Federalism.</w:t>
            </w:r>
          </w:p>
        </w:tc>
        <w:tc>
          <w:tcPr>
            <w:tcW w:w="0" w:type="auto"/>
            <w:vAlign w:val="center"/>
            <w:hideMark/>
          </w:tcPr>
          <w:p w14:paraId="28551E50" w14:textId="77777777" w:rsidR="00026A61" w:rsidRPr="00026A61" w:rsidRDefault="00026A61" w:rsidP="00026A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091406D" w14:textId="77777777" w:rsidR="006A62DA" w:rsidRDefault="006A62DA"/>
    <w:sectPr w:rsidR="006A62DA" w:rsidSect="00026A61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0D9E"/>
    <w:multiLevelType w:val="hybridMultilevel"/>
    <w:tmpl w:val="4628F5EC"/>
    <w:lvl w:ilvl="0" w:tplc="B40A8B7A">
      <w:start w:val="1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76696BDA"/>
    <w:multiLevelType w:val="hybridMultilevel"/>
    <w:tmpl w:val="65CEE8A8"/>
    <w:lvl w:ilvl="0" w:tplc="7AE413FE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65371488">
    <w:abstractNumId w:val="1"/>
  </w:num>
  <w:num w:numId="2" w16cid:durableId="162557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C9"/>
    <w:rsid w:val="00003851"/>
    <w:rsid w:val="00007401"/>
    <w:rsid w:val="00026A61"/>
    <w:rsid w:val="00026CE3"/>
    <w:rsid w:val="0003131F"/>
    <w:rsid w:val="001356B6"/>
    <w:rsid w:val="00171AA0"/>
    <w:rsid w:val="001945D4"/>
    <w:rsid w:val="001A23E7"/>
    <w:rsid w:val="001E50A7"/>
    <w:rsid w:val="002048BB"/>
    <w:rsid w:val="00262C97"/>
    <w:rsid w:val="002913C9"/>
    <w:rsid w:val="00295EB5"/>
    <w:rsid w:val="00345631"/>
    <w:rsid w:val="00360FC6"/>
    <w:rsid w:val="003C2488"/>
    <w:rsid w:val="003C59A9"/>
    <w:rsid w:val="003D72F1"/>
    <w:rsid w:val="004308DE"/>
    <w:rsid w:val="00443374"/>
    <w:rsid w:val="0046370C"/>
    <w:rsid w:val="00557B2A"/>
    <w:rsid w:val="00583954"/>
    <w:rsid w:val="00591A55"/>
    <w:rsid w:val="00640841"/>
    <w:rsid w:val="00681333"/>
    <w:rsid w:val="006A3260"/>
    <w:rsid w:val="006A62DA"/>
    <w:rsid w:val="006C374D"/>
    <w:rsid w:val="00732C41"/>
    <w:rsid w:val="007A6E7E"/>
    <w:rsid w:val="007D04B6"/>
    <w:rsid w:val="007D2C57"/>
    <w:rsid w:val="007F25F1"/>
    <w:rsid w:val="008577E6"/>
    <w:rsid w:val="0086408F"/>
    <w:rsid w:val="00872E2A"/>
    <w:rsid w:val="008C3AA5"/>
    <w:rsid w:val="009E24B7"/>
    <w:rsid w:val="00A20C76"/>
    <w:rsid w:val="00A32BBC"/>
    <w:rsid w:val="00A3685B"/>
    <w:rsid w:val="00A9220E"/>
    <w:rsid w:val="00AB52D8"/>
    <w:rsid w:val="00B3782B"/>
    <w:rsid w:val="00BD62FE"/>
    <w:rsid w:val="00C27C98"/>
    <w:rsid w:val="00C55A3B"/>
    <w:rsid w:val="00C96343"/>
    <w:rsid w:val="00CB75D0"/>
    <w:rsid w:val="00CD30DF"/>
    <w:rsid w:val="00CE498D"/>
    <w:rsid w:val="00D52A60"/>
    <w:rsid w:val="00DC03D5"/>
    <w:rsid w:val="00DE5506"/>
    <w:rsid w:val="00DF3777"/>
    <w:rsid w:val="00E32302"/>
    <w:rsid w:val="00E53D64"/>
    <w:rsid w:val="00EC0E8B"/>
    <w:rsid w:val="00EC3FDD"/>
    <w:rsid w:val="00F26454"/>
    <w:rsid w:val="00F830D7"/>
    <w:rsid w:val="00FD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39B4D"/>
  <w15:chartTrackingRefBased/>
  <w15:docId w15:val="{E8C026AC-6E1F-4553-B239-4E7C99F4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3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bb7e99-3687-4828-8b69-956199dbcb05"/>
    <lcf76f155ced4ddcb4097134ff3c332f xmlns="d2c116ba-48c4-4596-842c-4249a1e749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78E4E6267B540B2EE4BE3D1090EF3" ma:contentTypeVersion="16" ma:contentTypeDescription="Create a new document." ma:contentTypeScope="" ma:versionID="1e3c2b16569211155a37068e5a62dd44">
  <xsd:schema xmlns:xsd="http://www.w3.org/2001/XMLSchema" xmlns:xs="http://www.w3.org/2001/XMLSchema" xmlns:p="http://schemas.microsoft.com/office/2006/metadata/properties" xmlns:ns2="d2c116ba-48c4-4596-842c-4249a1e74920" xmlns:ns3="f4bb7e99-3687-4828-8b69-956199dbcb05" targetNamespace="http://schemas.microsoft.com/office/2006/metadata/properties" ma:root="true" ma:fieldsID="7a9078931f55d83728f14314850c4025" ns2:_="" ns3:_="">
    <xsd:import namespace="d2c116ba-48c4-4596-842c-4249a1e74920"/>
    <xsd:import namespace="f4bb7e99-3687-4828-8b69-956199dbc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116ba-48c4-4596-842c-4249a1e74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b7e99-3687-4828-8b69-956199dbc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38c7d0-1040-4234-8766-2bbbc0b9af15}" ma:internalName="TaxCatchAll" ma:showField="CatchAllData" ma:web="f4bb7e99-3687-4828-8b69-956199dbc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05D29-799A-4C1F-B047-432BBB46C452}">
  <ds:schemaRefs>
    <ds:schemaRef ds:uri="http://schemas.microsoft.com/office/2006/metadata/properties"/>
    <ds:schemaRef ds:uri="http://schemas.microsoft.com/office/infopath/2007/PartnerControls"/>
    <ds:schemaRef ds:uri="f4bb7e99-3687-4828-8b69-956199dbcb05"/>
    <ds:schemaRef ds:uri="d2c116ba-48c4-4596-842c-4249a1e74920"/>
  </ds:schemaRefs>
</ds:datastoreItem>
</file>

<file path=customXml/itemProps2.xml><?xml version="1.0" encoding="utf-8"?>
<ds:datastoreItem xmlns:ds="http://schemas.openxmlformats.org/officeDocument/2006/customXml" ds:itemID="{47319282-2272-4FEB-8807-E55FD2A60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AEAEA-00BE-4631-8800-1670B5122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116ba-48c4-4596-842c-4249a1e74920"/>
    <ds:schemaRef ds:uri="f4bb7e99-3687-4828-8b69-956199dbc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660</Words>
  <Characters>3887</Characters>
  <Application>Microsoft Office Word</Application>
  <DocSecurity>0</DocSecurity>
  <Lines>117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Bowers</dc:creator>
  <cp:keywords/>
  <dc:description/>
  <cp:lastModifiedBy>Mark Labrum</cp:lastModifiedBy>
  <cp:revision>5</cp:revision>
  <dcterms:created xsi:type="dcterms:W3CDTF">2026-02-23T13:18:00Z</dcterms:created>
  <dcterms:modified xsi:type="dcterms:W3CDTF">2026-02-23T14:01:00Z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0x010100E1978E4E6267B540B2EE4BE3D1090EF3</vt:lpwstr>
  </property>
</Properties>
</file>